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2E13" w14:textId="44B1B754" w:rsidR="009D0B3A" w:rsidRPr="009D0B3A" w:rsidRDefault="009D0B3A" w:rsidP="009D0B3A">
      <w:pPr>
        <w:bidi/>
        <w:jc w:val="both"/>
        <w:rPr>
          <w:sz w:val="28"/>
          <w:szCs w:val="28"/>
        </w:rPr>
      </w:pPr>
      <w:r>
        <w:t xml:space="preserve">. </w:t>
      </w:r>
      <w:r w:rsidRPr="009D0B3A">
        <w:rPr>
          <w:rFonts w:cs="Arial"/>
          <w:sz w:val="28"/>
          <w:szCs w:val="28"/>
          <w:rtl/>
        </w:rPr>
        <w:t>إعداد مصفوفة مجموعة بوسطن الاستشارية</w:t>
      </w:r>
      <w:r w:rsidRPr="009D0B3A">
        <w:rPr>
          <w:sz w:val="28"/>
          <w:szCs w:val="28"/>
        </w:rPr>
        <w:t xml:space="preserve"> BCG </w:t>
      </w:r>
    </w:p>
    <w:p w14:paraId="30877854" w14:textId="77777777" w:rsidR="009D0B3A" w:rsidRPr="009D0B3A" w:rsidRDefault="009D0B3A" w:rsidP="009D0B3A">
      <w:pPr>
        <w:bidi/>
        <w:jc w:val="both"/>
        <w:rPr>
          <w:sz w:val="28"/>
          <w:szCs w:val="28"/>
        </w:rPr>
      </w:pPr>
      <w:r w:rsidRPr="009D0B3A">
        <w:rPr>
          <w:rFonts w:cs="Arial"/>
          <w:sz w:val="28"/>
          <w:szCs w:val="28"/>
          <w:rtl/>
        </w:rPr>
        <w:t>الجد من بين نماذج تحليل محفظة الأعمال نموذج مجموعة بوسطن الاستشارية</w:t>
      </w:r>
      <w:r w:rsidRPr="009D0B3A">
        <w:rPr>
          <w:sz w:val="28"/>
          <w:szCs w:val="28"/>
        </w:rPr>
        <w:t xml:space="preserve"> ( </w:t>
      </w:r>
    </w:p>
    <w:p w14:paraId="581FF7CB" w14:textId="77777777" w:rsidR="009D0B3A" w:rsidRPr="009D0B3A" w:rsidRDefault="009D0B3A" w:rsidP="009D0B3A">
      <w:pPr>
        <w:bidi/>
        <w:jc w:val="both"/>
        <w:rPr>
          <w:sz w:val="28"/>
          <w:szCs w:val="28"/>
        </w:rPr>
      </w:pPr>
      <w:r w:rsidRPr="009D0B3A">
        <w:rPr>
          <w:sz w:val="28"/>
          <w:szCs w:val="28"/>
        </w:rPr>
        <w:t xml:space="preserve">Boston Consulting </w:t>
      </w:r>
    </w:p>
    <w:p w14:paraId="5D72194F" w14:textId="77777777" w:rsidR="009D0B3A" w:rsidRPr="009D0B3A" w:rsidRDefault="009D0B3A" w:rsidP="009D0B3A">
      <w:pPr>
        <w:bidi/>
        <w:jc w:val="both"/>
        <w:rPr>
          <w:sz w:val="28"/>
          <w:szCs w:val="28"/>
        </w:rPr>
      </w:pPr>
      <w:r w:rsidRPr="009D0B3A">
        <w:rPr>
          <w:sz w:val="28"/>
          <w:szCs w:val="28"/>
        </w:rPr>
        <w:t xml:space="preserve">Group) </w:t>
      </w:r>
      <w:r w:rsidRPr="009D0B3A">
        <w:rPr>
          <w:rFonts w:cs="Arial"/>
          <w:sz w:val="28"/>
          <w:szCs w:val="28"/>
          <w:rtl/>
        </w:rPr>
        <w:t>والمختصرة في</w:t>
      </w:r>
      <w:r w:rsidRPr="009D0B3A">
        <w:rPr>
          <w:sz w:val="28"/>
          <w:szCs w:val="28"/>
        </w:rPr>
        <w:t xml:space="preserve"> BCG</w:t>
      </w:r>
      <w:r w:rsidRPr="009D0B3A">
        <w:rPr>
          <w:rFonts w:cs="Arial"/>
          <w:sz w:val="28"/>
          <w:szCs w:val="28"/>
          <w:rtl/>
        </w:rPr>
        <w:t>، ويطلق على هذه النموذج مصفوفة النمو الحصة السوقية وهي تعتمد. في تحديد المراكز التنافسية أو مراكز الربح أو القطاعات بالاعتماد على مؤشرين هما نمو القطاع والحصة السوقية النسبية</w:t>
      </w:r>
      <w:r w:rsidRPr="009D0B3A">
        <w:rPr>
          <w:sz w:val="28"/>
          <w:szCs w:val="28"/>
        </w:rPr>
        <w:t xml:space="preserve">. </w:t>
      </w:r>
    </w:p>
    <w:p w14:paraId="7D41E17C" w14:textId="77777777" w:rsidR="009D0B3A" w:rsidRPr="009D0B3A" w:rsidRDefault="009D0B3A" w:rsidP="009D0B3A">
      <w:pPr>
        <w:bidi/>
        <w:jc w:val="both"/>
        <w:rPr>
          <w:sz w:val="28"/>
          <w:szCs w:val="28"/>
        </w:rPr>
      </w:pPr>
      <w:r w:rsidRPr="009D0B3A">
        <w:rPr>
          <w:sz w:val="28"/>
          <w:szCs w:val="28"/>
        </w:rPr>
        <w:t xml:space="preserve">1.1. </w:t>
      </w:r>
      <w:r w:rsidRPr="009D0B3A">
        <w:rPr>
          <w:rFonts w:cs="Arial"/>
          <w:sz w:val="28"/>
          <w:szCs w:val="28"/>
          <w:rtl/>
        </w:rPr>
        <w:t>أبعاد مصفوفة مجموعة بوسطن الاستشارية</w:t>
      </w:r>
      <w:r w:rsidRPr="009D0B3A">
        <w:rPr>
          <w:sz w:val="28"/>
          <w:szCs w:val="28"/>
        </w:rPr>
        <w:t xml:space="preserve"> </w:t>
      </w:r>
    </w:p>
    <w:p w14:paraId="63744090" w14:textId="77777777" w:rsidR="009D0B3A" w:rsidRPr="009D0B3A" w:rsidRDefault="009D0B3A" w:rsidP="009D0B3A">
      <w:pPr>
        <w:bidi/>
        <w:jc w:val="both"/>
        <w:rPr>
          <w:sz w:val="28"/>
          <w:szCs w:val="28"/>
        </w:rPr>
      </w:pPr>
      <w:r w:rsidRPr="009D0B3A">
        <w:rPr>
          <w:rFonts w:cs="Arial"/>
          <w:sz w:val="28"/>
          <w:szCs w:val="28"/>
          <w:rtl/>
        </w:rPr>
        <w:t>تحتوي المصفوفة على بعدين هما: نمو القطاع والحصة السوقية النسبية</w:t>
      </w:r>
      <w:r w:rsidRPr="009D0B3A">
        <w:rPr>
          <w:sz w:val="28"/>
          <w:szCs w:val="28"/>
        </w:rPr>
        <w:t xml:space="preserve">. </w:t>
      </w:r>
    </w:p>
    <w:p w14:paraId="41BBA2CC" w14:textId="70D2E73B" w:rsidR="009D0B3A" w:rsidRPr="009D0B3A" w:rsidRDefault="009D0B3A" w:rsidP="009D0B3A">
      <w:pPr>
        <w:bidi/>
        <w:jc w:val="both"/>
        <w:rPr>
          <w:sz w:val="28"/>
          <w:szCs w:val="28"/>
        </w:rPr>
      </w:pPr>
      <w:r w:rsidRPr="009D0B3A">
        <w:rPr>
          <w:sz w:val="28"/>
          <w:szCs w:val="28"/>
        </w:rPr>
        <w:t xml:space="preserve">(1 </w:t>
      </w:r>
      <w:r w:rsidRPr="009D0B3A">
        <w:rPr>
          <w:rFonts w:cs="Arial"/>
          <w:sz w:val="28"/>
          <w:szCs w:val="28"/>
          <w:rtl/>
        </w:rPr>
        <w:t>حصة السوقية النسبية</w:t>
      </w:r>
      <w:r w:rsidRPr="009D0B3A">
        <w:rPr>
          <w:sz w:val="28"/>
          <w:szCs w:val="28"/>
        </w:rPr>
        <w:t xml:space="preserve"> </w:t>
      </w:r>
    </w:p>
    <w:p w14:paraId="56615109" w14:textId="77777777" w:rsidR="009D0B3A" w:rsidRPr="009D0B3A" w:rsidRDefault="009D0B3A" w:rsidP="009D0B3A">
      <w:pPr>
        <w:bidi/>
        <w:jc w:val="both"/>
        <w:rPr>
          <w:sz w:val="28"/>
          <w:szCs w:val="28"/>
        </w:rPr>
      </w:pPr>
      <w:r w:rsidRPr="009D0B3A">
        <w:rPr>
          <w:rFonts w:cs="Arial"/>
          <w:sz w:val="28"/>
          <w:szCs w:val="28"/>
          <w:rtl/>
        </w:rPr>
        <w:t>وهي تمثل مدى قوة الشركة في السوق، فالتي تتمتع بخصة سوقية نسبية كبيرة تتمتع بقدرة تنافسية عالية، الحصة السوقية النسبية هي حاصل قسمة الحصة السوقية للشركة على الحصة السوقية لأول منافس للشركة</w:t>
      </w:r>
      <w:r w:rsidRPr="009D0B3A">
        <w:rPr>
          <w:sz w:val="28"/>
          <w:szCs w:val="28"/>
        </w:rPr>
        <w:t xml:space="preserve">. </w:t>
      </w:r>
    </w:p>
    <w:p w14:paraId="6E6EB9CE" w14:textId="77777777" w:rsidR="009D0B3A" w:rsidRPr="009D0B3A" w:rsidRDefault="009D0B3A" w:rsidP="009D0B3A">
      <w:pPr>
        <w:bidi/>
        <w:jc w:val="both"/>
        <w:rPr>
          <w:sz w:val="28"/>
          <w:szCs w:val="28"/>
        </w:rPr>
      </w:pPr>
      <w:r w:rsidRPr="009D0B3A">
        <w:rPr>
          <w:rFonts w:cs="Arial"/>
          <w:sz w:val="28"/>
          <w:szCs w:val="28"/>
          <w:rtl/>
        </w:rPr>
        <w:t>يفترض هذا النموذج أن الحصة السوقية الكبيرة تجلب للشركات عوائد نقدية عالية، ويرجع هذا إلى أن الشركة التي تنتج بكميات كبيرة تستفيد من اقتصاديات الحجم ومنحنى الحيرة</w:t>
      </w:r>
      <w:r w:rsidRPr="009D0B3A">
        <w:rPr>
          <w:sz w:val="28"/>
          <w:szCs w:val="28"/>
        </w:rPr>
        <w:t xml:space="preserve">. </w:t>
      </w:r>
    </w:p>
    <w:p w14:paraId="7820CF6D" w14:textId="51F5C669" w:rsidR="009D0B3A" w:rsidRPr="009D0B3A" w:rsidRDefault="009D0B3A" w:rsidP="009D0B3A">
      <w:pPr>
        <w:bidi/>
        <w:jc w:val="both"/>
        <w:rPr>
          <w:sz w:val="28"/>
          <w:szCs w:val="28"/>
        </w:rPr>
      </w:pPr>
      <w:r w:rsidRPr="009D0B3A">
        <w:rPr>
          <w:sz w:val="28"/>
          <w:szCs w:val="28"/>
        </w:rPr>
        <w:t xml:space="preserve">(2) </w:t>
      </w:r>
      <w:r>
        <w:rPr>
          <w:sz w:val="28"/>
          <w:szCs w:val="28"/>
        </w:rPr>
        <w:t xml:space="preserve"> </w:t>
      </w:r>
      <w:r w:rsidRPr="009D0B3A">
        <w:rPr>
          <w:rFonts w:cs="Arial"/>
          <w:sz w:val="28"/>
          <w:szCs w:val="28"/>
          <w:rtl/>
        </w:rPr>
        <w:t>معدل نمو السوق</w:t>
      </w:r>
      <w:r w:rsidRPr="009D0B3A">
        <w:rPr>
          <w:sz w:val="28"/>
          <w:szCs w:val="28"/>
        </w:rPr>
        <w:t xml:space="preserve"> </w:t>
      </w:r>
    </w:p>
    <w:p w14:paraId="1DC29192" w14:textId="77777777" w:rsidR="009D0B3A" w:rsidRPr="009D0B3A" w:rsidRDefault="009D0B3A" w:rsidP="009D0B3A">
      <w:pPr>
        <w:bidi/>
        <w:jc w:val="both"/>
        <w:rPr>
          <w:sz w:val="28"/>
          <w:szCs w:val="28"/>
        </w:rPr>
      </w:pPr>
      <w:r w:rsidRPr="009D0B3A">
        <w:rPr>
          <w:rFonts w:cs="Arial"/>
          <w:sz w:val="28"/>
          <w:szCs w:val="28"/>
          <w:rtl/>
        </w:rPr>
        <w:t>والذي يعبر عنه يتطور حجم المبيعات في ذلك القطاع ككل خلال سنة أو حتى خمسة سنوات بالمقارنة مع التي قبلها، وغالبا ما يكون مركز المحور الأفقي هو 965</w:t>
      </w:r>
      <w:r w:rsidRPr="009D0B3A">
        <w:rPr>
          <w:sz w:val="28"/>
          <w:szCs w:val="28"/>
        </w:rPr>
        <w:t xml:space="preserve">. </w:t>
      </w:r>
    </w:p>
    <w:p w14:paraId="4C574303" w14:textId="77777777" w:rsidR="009D0B3A" w:rsidRPr="009D0B3A" w:rsidRDefault="009D0B3A" w:rsidP="009D0B3A">
      <w:pPr>
        <w:bidi/>
        <w:jc w:val="both"/>
        <w:rPr>
          <w:sz w:val="28"/>
          <w:szCs w:val="28"/>
        </w:rPr>
      </w:pPr>
      <w:r w:rsidRPr="009D0B3A">
        <w:rPr>
          <w:sz w:val="28"/>
          <w:szCs w:val="28"/>
        </w:rPr>
        <w:t xml:space="preserve">2.1. </w:t>
      </w:r>
      <w:r w:rsidRPr="009D0B3A">
        <w:rPr>
          <w:rFonts w:cs="Arial"/>
          <w:sz w:val="28"/>
          <w:szCs w:val="28"/>
          <w:rtl/>
        </w:rPr>
        <w:t>إعداد مصفوفة مجموعة بوسطن الاستشارية</w:t>
      </w:r>
      <w:r w:rsidRPr="009D0B3A">
        <w:rPr>
          <w:sz w:val="28"/>
          <w:szCs w:val="28"/>
        </w:rPr>
        <w:t xml:space="preserve"> BCG </w:t>
      </w:r>
    </w:p>
    <w:p w14:paraId="6E42C881" w14:textId="4AB2B40A" w:rsidR="00B1140D" w:rsidRDefault="009D0B3A" w:rsidP="009D0B3A">
      <w:pPr>
        <w:bidi/>
        <w:jc w:val="both"/>
        <w:rPr>
          <w:sz w:val="28"/>
          <w:szCs w:val="28"/>
        </w:rPr>
      </w:pPr>
      <w:r w:rsidRPr="009D0B3A">
        <w:rPr>
          <w:rFonts w:cs="Arial"/>
          <w:sz w:val="28"/>
          <w:szCs w:val="28"/>
          <w:rtl/>
        </w:rPr>
        <w:t>توزع القطاعات الأعمال الإستراتيجية للشركة والتي تسمى حسب هذا النموذج بـ "المنتجات" على أربعة مجموعات في نتيجة تقاطع بعد نمو السوق مع بعد الحصة السوقية النسبية اللذان يقسمان بدورهما إلى مستويين عالي ومنخفض الخلايا أو المربعات الأربعة هي</w:t>
      </w:r>
      <w:r w:rsidRPr="009D0B3A">
        <w:rPr>
          <w:sz w:val="28"/>
          <w:szCs w:val="28"/>
        </w:rPr>
        <w:t>:</w:t>
      </w:r>
    </w:p>
    <w:p w14:paraId="2C7AE024" w14:textId="77777777" w:rsidR="0069268E" w:rsidRPr="0069268E" w:rsidRDefault="0069268E" w:rsidP="0069268E">
      <w:pPr>
        <w:bidi/>
        <w:jc w:val="both"/>
        <w:rPr>
          <w:sz w:val="28"/>
          <w:szCs w:val="28"/>
        </w:rPr>
      </w:pPr>
      <w:r w:rsidRPr="0069268E">
        <w:rPr>
          <w:rFonts w:cs="Arial"/>
          <w:sz w:val="28"/>
          <w:szCs w:val="28"/>
          <w:rtl/>
        </w:rPr>
        <w:t xml:space="preserve">1. النجوم: معدل نمو عالي مع حصة سوقية نسبية عالية. </w:t>
      </w:r>
    </w:p>
    <w:p w14:paraId="3BF298EA" w14:textId="77777777" w:rsidR="0069268E" w:rsidRDefault="0069268E" w:rsidP="0069268E">
      <w:pPr>
        <w:bidi/>
        <w:jc w:val="both"/>
        <w:rPr>
          <w:sz w:val="28"/>
          <w:szCs w:val="28"/>
        </w:rPr>
      </w:pPr>
      <w:r w:rsidRPr="0069268E">
        <w:rPr>
          <w:rFonts w:cs="Arial"/>
          <w:sz w:val="28"/>
          <w:szCs w:val="28"/>
          <w:rtl/>
        </w:rPr>
        <w:t xml:space="preserve">2 البقر الحلوب: معدل نمو منخفض مع حصة سوقية نسبية عالية. </w:t>
      </w:r>
    </w:p>
    <w:p w14:paraId="66C512BC" w14:textId="698B3C0D" w:rsidR="0069268E" w:rsidRPr="0069268E" w:rsidRDefault="0069268E" w:rsidP="0069268E">
      <w:pPr>
        <w:bidi/>
        <w:jc w:val="both"/>
        <w:rPr>
          <w:sz w:val="28"/>
          <w:szCs w:val="28"/>
        </w:rPr>
      </w:pPr>
      <w:r>
        <w:rPr>
          <w:sz w:val="28"/>
          <w:szCs w:val="28"/>
        </w:rPr>
        <w:t>3</w:t>
      </w:r>
      <w:r w:rsidRPr="0069268E">
        <w:rPr>
          <w:rFonts w:cs="Arial"/>
          <w:sz w:val="28"/>
          <w:szCs w:val="28"/>
          <w:rtl/>
        </w:rPr>
        <w:t xml:space="preserve">الاستفهام: معدل نمو عالي مع حصة سوقية نسبية منخفضة. </w:t>
      </w:r>
    </w:p>
    <w:p w14:paraId="73503AE4" w14:textId="316CA891" w:rsidR="0069268E" w:rsidRPr="009D0B3A" w:rsidRDefault="0069268E" w:rsidP="0069268E">
      <w:pPr>
        <w:bidi/>
        <w:jc w:val="both"/>
        <w:rPr>
          <w:sz w:val="28"/>
          <w:szCs w:val="28"/>
        </w:rPr>
      </w:pPr>
      <w:r w:rsidRPr="0069268E">
        <w:rPr>
          <w:rFonts w:cs="Arial"/>
          <w:sz w:val="28"/>
          <w:szCs w:val="28"/>
          <w:rtl/>
        </w:rPr>
        <w:t>4 الكلاب الضائعة: معدل نمو منخفض مع حصة سوقية نسبية منخفضة</w:t>
      </w:r>
    </w:p>
    <w:sectPr w:rsidR="0069268E" w:rsidRPr="009D0B3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DFD8" w14:textId="77777777" w:rsidR="00A614A7" w:rsidRDefault="00A614A7" w:rsidP="00125832">
      <w:pPr>
        <w:spacing w:after="0" w:line="240" w:lineRule="auto"/>
      </w:pPr>
      <w:r>
        <w:separator/>
      </w:r>
    </w:p>
  </w:endnote>
  <w:endnote w:type="continuationSeparator" w:id="0">
    <w:p w14:paraId="05F3358C" w14:textId="77777777" w:rsidR="00A614A7" w:rsidRDefault="00A614A7" w:rsidP="0012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FC23" w14:textId="77777777" w:rsidR="00A614A7" w:rsidRDefault="00A614A7" w:rsidP="00125832">
      <w:pPr>
        <w:spacing w:after="0" w:line="240" w:lineRule="auto"/>
      </w:pPr>
      <w:r>
        <w:separator/>
      </w:r>
    </w:p>
  </w:footnote>
  <w:footnote w:type="continuationSeparator" w:id="0">
    <w:p w14:paraId="13AAC1E5" w14:textId="77777777" w:rsidR="00A614A7" w:rsidRDefault="00A614A7" w:rsidP="0012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E015" w14:textId="36CD0F6C" w:rsidR="00125832" w:rsidRPr="009D0B3A" w:rsidRDefault="00125832" w:rsidP="009D0B3A">
    <w:pPr>
      <w:pStyle w:val="En-tte"/>
      <w:jc w:val="center"/>
      <w:rPr>
        <w:rFonts w:hint="cs"/>
        <w:b/>
        <w:bCs/>
        <w:sz w:val="32"/>
        <w:szCs w:val="32"/>
        <w:lang w:bidi="ar-DZ"/>
      </w:rPr>
    </w:pPr>
    <w:r w:rsidRPr="009D0B3A">
      <w:rPr>
        <w:b/>
        <w:bCs/>
        <w:sz w:val="32"/>
        <w:szCs w:val="32"/>
        <w:lang w:bidi="ar-DZ"/>
      </w:rPr>
      <w:t xml:space="preserve">BCG </w:t>
    </w:r>
    <w:r w:rsidRPr="009D0B3A">
      <w:rPr>
        <w:rFonts w:hint="cs"/>
        <w:b/>
        <w:bCs/>
        <w:sz w:val="32"/>
        <w:szCs w:val="32"/>
        <w:rtl/>
        <w:lang w:bidi="ar-DZ"/>
      </w:rPr>
      <w:t>المحاضرة السادسة: تحليل محفظة الاعمال باستعمال نموذج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0D"/>
    <w:rsid w:val="00125832"/>
    <w:rsid w:val="0069268E"/>
    <w:rsid w:val="006C7755"/>
    <w:rsid w:val="009D0B3A"/>
    <w:rsid w:val="00A614A7"/>
    <w:rsid w:val="00B114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2933"/>
  <w15:chartTrackingRefBased/>
  <w15:docId w15:val="{FC44522F-800B-4DC4-9FF2-9651051C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1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11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1140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1140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1140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114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14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14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14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140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1140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1140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1140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1140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114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14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14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140D"/>
    <w:rPr>
      <w:rFonts w:eastAsiaTheme="majorEastAsia" w:cstheme="majorBidi"/>
      <w:color w:val="272727" w:themeColor="text1" w:themeTint="D8"/>
    </w:rPr>
  </w:style>
  <w:style w:type="paragraph" w:styleId="Titre">
    <w:name w:val="Title"/>
    <w:basedOn w:val="Normal"/>
    <w:next w:val="Normal"/>
    <w:link w:val="TitreCar"/>
    <w:uiPriority w:val="10"/>
    <w:qFormat/>
    <w:rsid w:val="00B11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14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14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14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140D"/>
    <w:pPr>
      <w:spacing w:before="160"/>
      <w:jc w:val="center"/>
    </w:pPr>
    <w:rPr>
      <w:i/>
      <w:iCs/>
      <w:color w:val="404040" w:themeColor="text1" w:themeTint="BF"/>
    </w:rPr>
  </w:style>
  <w:style w:type="character" w:customStyle="1" w:styleId="CitationCar">
    <w:name w:val="Citation Car"/>
    <w:basedOn w:val="Policepardfaut"/>
    <w:link w:val="Citation"/>
    <w:uiPriority w:val="29"/>
    <w:rsid w:val="00B1140D"/>
    <w:rPr>
      <w:i/>
      <w:iCs/>
      <w:color w:val="404040" w:themeColor="text1" w:themeTint="BF"/>
    </w:rPr>
  </w:style>
  <w:style w:type="paragraph" w:styleId="Paragraphedeliste">
    <w:name w:val="List Paragraph"/>
    <w:basedOn w:val="Normal"/>
    <w:uiPriority w:val="34"/>
    <w:qFormat/>
    <w:rsid w:val="00B1140D"/>
    <w:pPr>
      <w:ind w:left="720"/>
      <w:contextualSpacing/>
    </w:pPr>
  </w:style>
  <w:style w:type="character" w:styleId="Accentuationintense">
    <w:name w:val="Intense Emphasis"/>
    <w:basedOn w:val="Policepardfaut"/>
    <w:uiPriority w:val="21"/>
    <w:qFormat/>
    <w:rsid w:val="00B1140D"/>
    <w:rPr>
      <w:i/>
      <w:iCs/>
      <w:color w:val="2F5496" w:themeColor="accent1" w:themeShade="BF"/>
    </w:rPr>
  </w:style>
  <w:style w:type="paragraph" w:styleId="Citationintense">
    <w:name w:val="Intense Quote"/>
    <w:basedOn w:val="Normal"/>
    <w:next w:val="Normal"/>
    <w:link w:val="CitationintenseCar"/>
    <w:uiPriority w:val="30"/>
    <w:qFormat/>
    <w:rsid w:val="00B11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1140D"/>
    <w:rPr>
      <w:i/>
      <w:iCs/>
      <w:color w:val="2F5496" w:themeColor="accent1" w:themeShade="BF"/>
    </w:rPr>
  </w:style>
  <w:style w:type="character" w:styleId="Rfrenceintense">
    <w:name w:val="Intense Reference"/>
    <w:basedOn w:val="Policepardfaut"/>
    <w:uiPriority w:val="32"/>
    <w:qFormat/>
    <w:rsid w:val="00B1140D"/>
    <w:rPr>
      <w:b/>
      <w:bCs/>
      <w:smallCaps/>
      <w:color w:val="2F5496" w:themeColor="accent1" w:themeShade="BF"/>
      <w:spacing w:val="5"/>
    </w:rPr>
  </w:style>
  <w:style w:type="paragraph" w:styleId="En-tte">
    <w:name w:val="header"/>
    <w:basedOn w:val="Normal"/>
    <w:link w:val="En-tteCar"/>
    <w:uiPriority w:val="99"/>
    <w:unhideWhenUsed/>
    <w:rsid w:val="00125832"/>
    <w:pPr>
      <w:tabs>
        <w:tab w:val="center" w:pos="4536"/>
        <w:tab w:val="right" w:pos="9072"/>
      </w:tabs>
      <w:spacing w:after="0" w:line="240" w:lineRule="auto"/>
    </w:pPr>
  </w:style>
  <w:style w:type="character" w:customStyle="1" w:styleId="En-tteCar">
    <w:name w:val="En-tête Car"/>
    <w:basedOn w:val="Policepardfaut"/>
    <w:link w:val="En-tte"/>
    <w:uiPriority w:val="99"/>
    <w:rsid w:val="00125832"/>
  </w:style>
  <w:style w:type="paragraph" w:styleId="Pieddepage">
    <w:name w:val="footer"/>
    <w:basedOn w:val="Normal"/>
    <w:link w:val="PieddepageCar"/>
    <w:uiPriority w:val="99"/>
    <w:unhideWhenUsed/>
    <w:rsid w:val="001258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1266</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DELL3350</dc:creator>
  <cp:keywords/>
  <dc:description/>
  <cp:lastModifiedBy>DELL3350</cp:lastModifiedBy>
  <cp:revision>6</cp:revision>
  <dcterms:created xsi:type="dcterms:W3CDTF">2025-05-11T23:38:00Z</dcterms:created>
  <dcterms:modified xsi:type="dcterms:W3CDTF">2025-05-11T23:45:00Z</dcterms:modified>
</cp:coreProperties>
</file>