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margin" w:tblpXSpec="center" w:tblpY="-2052"/>
        <w:tblW w:w="10140" w:type="dxa"/>
        <w:tblBorders>
          <w:top w:val="nil"/>
          <w:left w:val="nil"/>
          <w:bottom w:val="nil"/>
          <w:right w:val="nil"/>
          <w:insideH w:val="nil"/>
          <w:insideV w:val="nil"/>
        </w:tblBorders>
        <w:tblLayout w:type="fixed"/>
        <w:tblLook w:val="0600" w:firstRow="0" w:lastRow="0" w:firstColumn="0" w:lastColumn="0" w:noHBand="1" w:noVBand="1"/>
      </w:tblPr>
      <w:tblGrid>
        <w:gridCol w:w="6225"/>
        <w:gridCol w:w="240"/>
        <w:gridCol w:w="3675"/>
      </w:tblGrid>
      <w:tr w:rsidR="00E83362" w:rsidTr="00E83362">
        <w:trPr>
          <w:trHeight w:val="258"/>
        </w:trPr>
        <w:tc>
          <w:tcPr>
            <w:tcW w:w="6225" w:type="dxa"/>
            <w:tcBorders>
              <w:top w:val="nil"/>
              <w:left w:val="nil"/>
              <w:bottom w:val="single" w:sz="4" w:space="0" w:color="000000"/>
              <w:right w:val="nil"/>
            </w:tcBorders>
            <w:tcMar>
              <w:top w:w="0" w:type="dxa"/>
              <w:left w:w="100" w:type="dxa"/>
              <w:bottom w:w="0" w:type="dxa"/>
              <w:right w:w="100" w:type="dxa"/>
            </w:tcMar>
          </w:tcPr>
          <w:p w:rsidR="00E83362" w:rsidRDefault="00E83362" w:rsidP="00E83362">
            <w:pPr>
              <w:spacing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Université Mohamed </w:t>
            </w:r>
            <w:proofErr w:type="spellStart"/>
            <w:r>
              <w:rPr>
                <w:rFonts w:ascii="Times New Roman" w:eastAsia="Times New Roman" w:hAnsi="Times New Roman" w:cs="Times New Roman"/>
                <w:b/>
                <w:sz w:val="18"/>
                <w:szCs w:val="18"/>
              </w:rPr>
              <w:t>Khider</w:t>
            </w:r>
            <w:proofErr w:type="spellEnd"/>
            <w:r>
              <w:rPr>
                <w:rFonts w:ascii="Times New Roman" w:eastAsia="Times New Roman" w:hAnsi="Times New Roman" w:cs="Times New Roman"/>
                <w:b/>
                <w:sz w:val="18"/>
                <w:szCs w:val="18"/>
              </w:rPr>
              <w:t xml:space="preserve"> – Biskra</w:t>
            </w:r>
          </w:p>
          <w:p w:rsidR="00E83362" w:rsidRDefault="00E83362" w:rsidP="00E83362">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Faculté des Lettres et des Langues</w:t>
            </w:r>
          </w:p>
          <w:p w:rsidR="00E83362" w:rsidRDefault="00E83362" w:rsidP="00E83362">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Département de Français</w:t>
            </w:r>
          </w:p>
          <w:p w:rsidR="00E83362" w:rsidRDefault="00E83362" w:rsidP="00E83362">
            <w:pPr>
              <w:spacing w:line="240" w:lineRule="auto"/>
              <w:rPr>
                <w:rFonts w:ascii="Times New Roman" w:eastAsia="Times New Roman" w:hAnsi="Times New Roman" w:cs="Times New Roman"/>
                <w:b/>
                <w:sz w:val="18"/>
                <w:szCs w:val="18"/>
              </w:rPr>
            </w:pPr>
            <w:r>
              <w:rPr>
                <w:rFonts w:ascii="Times New Roman" w:eastAsia="Times New Roman" w:hAnsi="Times New Roman" w:cs="Times New Roman"/>
                <w:sz w:val="18"/>
                <w:szCs w:val="18"/>
              </w:rPr>
              <w:t xml:space="preserve">Enseignante : </w:t>
            </w:r>
            <w:proofErr w:type="spellStart"/>
            <w:r>
              <w:rPr>
                <w:rFonts w:ascii="Times New Roman" w:eastAsia="Times New Roman" w:hAnsi="Times New Roman" w:cs="Times New Roman"/>
                <w:b/>
                <w:sz w:val="18"/>
                <w:szCs w:val="18"/>
              </w:rPr>
              <w:t>Dre</w:t>
            </w:r>
            <w:proofErr w:type="spellEnd"/>
            <w:r>
              <w:rPr>
                <w:rFonts w:ascii="Times New Roman" w:eastAsia="Times New Roman" w:hAnsi="Times New Roman" w:cs="Times New Roman"/>
                <w:b/>
                <w:sz w:val="18"/>
                <w:szCs w:val="18"/>
              </w:rPr>
              <w:t>. Haddad M.</w:t>
            </w:r>
          </w:p>
          <w:p w:rsidR="00E83362" w:rsidRDefault="00E83362" w:rsidP="00E83362">
            <w:pPr>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Chapitre </w:t>
            </w:r>
            <w:proofErr w:type="gramStart"/>
            <w:r>
              <w:rPr>
                <w:rFonts w:ascii="Times New Roman" w:eastAsia="Times New Roman" w:hAnsi="Times New Roman" w:cs="Times New Roman"/>
                <w:b/>
                <w:sz w:val="18"/>
                <w:szCs w:val="18"/>
              </w:rPr>
              <w:t>3  :</w:t>
            </w:r>
            <w:proofErr w:type="gramEnd"/>
            <w:r>
              <w:rPr>
                <w:rFonts w:ascii="Times New Roman" w:eastAsia="Times New Roman" w:hAnsi="Times New Roman" w:cs="Times New Roman"/>
                <w:b/>
                <w:sz w:val="18"/>
                <w:szCs w:val="18"/>
              </w:rPr>
              <w:t xml:space="preserve"> TIC et enseignement</w:t>
            </w:r>
          </w:p>
        </w:tc>
        <w:tc>
          <w:tcPr>
            <w:tcW w:w="240" w:type="dxa"/>
            <w:tcBorders>
              <w:top w:val="nil"/>
              <w:left w:val="nil"/>
              <w:bottom w:val="nil"/>
              <w:right w:val="nil"/>
            </w:tcBorders>
            <w:tcMar>
              <w:top w:w="0" w:type="dxa"/>
              <w:left w:w="100" w:type="dxa"/>
              <w:bottom w:w="0" w:type="dxa"/>
              <w:right w:w="100" w:type="dxa"/>
            </w:tcMar>
          </w:tcPr>
          <w:p w:rsidR="00E83362" w:rsidRDefault="00E83362" w:rsidP="00E83362">
            <w:pPr>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3675" w:type="dxa"/>
            <w:tcBorders>
              <w:top w:val="nil"/>
              <w:left w:val="nil"/>
              <w:bottom w:val="nil"/>
              <w:right w:val="nil"/>
            </w:tcBorders>
            <w:tcMar>
              <w:top w:w="0" w:type="dxa"/>
              <w:left w:w="100" w:type="dxa"/>
              <w:bottom w:w="0" w:type="dxa"/>
              <w:right w:w="100" w:type="dxa"/>
            </w:tcMar>
          </w:tcPr>
          <w:p w:rsidR="00E83362" w:rsidRDefault="00E83362" w:rsidP="00E83362">
            <w:pPr>
              <w:spacing w:line="240" w:lineRule="auto"/>
              <w:rPr>
                <w:rFonts w:ascii="Times New Roman" w:eastAsia="Times New Roman" w:hAnsi="Times New Roman" w:cs="Times New Roman"/>
                <w:sz w:val="18"/>
                <w:szCs w:val="18"/>
              </w:rPr>
            </w:pPr>
            <w:r>
              <w:rPr>
                <w:rFonts w:ascii="Times New Roman" w:eastAsia="Times New Roman" w:hAnsi="Times New Roman" w:cs="Times New Roman"/>
                <w:b/>
                <w:sz w:val="18"/>
                <w:szCs w:val="18"/>
                <w:u w:val="single"/>
              </w:rPr>
              <w:t>Module :</w:t>
            </w:r>
            <w:r>
              <w:rPr>
                <w:rFonts w:ascii="Times New Roman" w:eastAsia="Times New Roman" w:hAnsi="Times New Roman" w:cs="Times New Roman"/>
                <w:sz w:val="18"/>
                <w:szCs w:val="18"/>
              </w:rPr>
              <w:t xml:space="preserve"> Techniques d’information et de communication</w:t>
            </w:r>
          </w:p>
          <w:p w:rsidR="00E83362" w:rsidRDefault="00E83362" w:rsidP="00E83362">
            <w:pPr>
              <w:spacing w:line="240" w:lineRule="auto"/>
              <w:rPr>
                <w:rFonts w:ascii="Times New Roman" w:eastAsia="Times New Roman" w:hAnsi="Times New Roman" w:cs="Times New Roman"/>
                <w:sz w:val="18"/>
                <w:szCs w:val="18"/>
              </w:rPr>
            </w:pPr>
            <w:r>
              <w:rPr>
                <w:rFonts w:ascii="Times New Roman" w:eastAsia="Times New Roman" w:hAnsi="Times New Roman" w:cs="Times New Roman"/>
                <w:b/>
                <w:sz w:val="18"/>
                <w:szCs w:val="18"/>
                <w:u w:val="single"/>
              </w:rPr>
              <w:t>Niveau :</w:t>
            </w:r>
            <w:r>
              <w:rPr>
                <w:rFonts w:ascii="Times New Roman" w:eastAsia="Times New Roman" w:hAnsi="Times New Roman" w:cs="Times New Roman"/>
                <w:sz w:val="18"/>
                <w:szCs w:val="18"/>
              </w:rPr>
              <w:t xml:space="preserve"> L3</w:t>
            </w:r>
          </w:p>
          <w:p w:rsidR="00E83362" w:rsidRDefault="00E83362" w:rsidP="00E83362">
            <w:pPr>
              <w:spacing w:line="240" w:lineRule="auto"/>
              <w:rPr>
                <w:rFonts w:ascii="Times New Roman" w:eastAsia="Times New Roman" w:hAnsi="Times New Roman" w:cs="Times New Roman"/>
                <w:sz w:val="18"/>
                <w:szCs w:val="18"/>
              </w:rPr>
            </w:pPr>
            <w:r>
              <w:rPr>
                <w:rFonts w:ascii="Times New Roman" w:eastAsia="Times New Roman" w:hAnsi="Times New Roman" w:cs="Times New Roman"/>
                <w:b/>
                <w:sz w:val="18"/>
                <w:szCs w:val="18"/>
                <w:u w:val="single"/>
              </w:rPr>
              <w:t>Année :</w:t>
            </w:r>
            <w:r>
              <w:rPr>
                <w:rFonts w:ascii="Times New Roman" w:eastAsia="Times New Roman" w:hAnsi="Times New Roman" w:cs="Times New Roman"/>
                <w:sz w:val="18"/>
                <w:szCs w:val="18"/>
              </w:rPr>
              <w:t xml:space="preserve"> 2024-2025</w:t>
            </w:r>
          </w:p>
          <w:p w:rsidR="00E83362" w:rsidRDefault="00E83362" w:rsidP="00E83362">
            <w:pPr>
              <w:spacing w:line="240" w:lineRule="auto"/>
              <w:rPr>
                <w:rFonts w:ascii="Times New Roman" w:eastAsia="Times New Roman" w:hAnsi="Times New Roman" w:cs="Times New Roman"/>
                <w:sz w:val="18"/>
                <w:szCs w:val="18"/>
              </w:rPr>
            </w:pPr>
          </w:p>
          <w:p w:rsidR="00E83362" w:rsidRDefault="00E83362" w:rsidP="00E83362">
            <w:pPr>
              <w:spacing w:line="240" w:lineRule="auto"/>
              <w:rPr>
                <w:rFonts w:ascii="Times New Roman" w:eastAsia="Times New Roman" w:hAnsi="Times New Roman" w:cs="Times New Roman"/>
                <w:sz w:val="18"/>
                <w:szCs w:val="18"/>
              </w:rPr>
            </w:pPr>
          </w:p>
        </w:tc>
      </w:tr>
    </w:tbl>
    <w:p w:rsidR="00E83362" w:rsidRDefault="00E83362"/>
    <w:p w:rsidR="00E83362" w:rsidRPr="00E83362" w:rsidRDefault="00E83362" w:rsidP="00E83362">
      <w:pPr>
        <w:spacing w:line="360" w:lineRule="auto"/>
        <w:jc w:val="both"/>
        <w:rPr>
          <w:b/>
          <w:bCs/>
          <w:sz w:val="24"/>
          <w:szCs w:val="24"/>
        </w:rPr>
      </w:pPr>
      <w:r w:rsidRPr="00E83362">
        <w:rPr>
          <w:b/>
          <w:bCs/>
          <w:sz w:val="24"/>
          <w:szCs w:val="24"/>
        </w:rPr>
        <w:t xml:space="preserve">Avantages de </w:t>
      </w:r>
      <w:r w:rsidRPr="00E83362">
        <w:rPr>
          <w:b/>
          <w:bCs/>
          <w:sz w:val="24"/>
          <w:szCs w:val="24"/>
        </w:rPr>
        <w:t>l’</w:t>
      </w:r>
      <w:r w:rsidRPr="00E83362">
        <w:rPr>
          <w:b/>
          <w:bCs/>
          <w:sz w:val="24"/>
          <w:szCs w:val="24"/>
        </w:rPr>
        <w:t xml:space="preserve">intégration </w:t>
      </w:r>
      <w:r w:rsidRPr="00E83362">
        <w:rPr>
          <w:b/>
          <w:bCs/>
          <w:sz w:val="24"/>
          <w:szCs w:val="24"/>
        </w:rPr>
        <w:t>des TIC dans l’enseignement</w:t>
      </w:r>
    </w:p>
    <w:p w:rsidR="00E83362" w:rsidRDefault="00E83362" w:rsidP="00E83362">
      <w:pPr>
        <w:spacing w:line="360" w:lineRule="auto"/>
        <w:jc w:val="both"/>
        <w:rPr>
          <w:sz w:val="24"/>
          <w:szCs w:val="24"/>
        </w:rPr>
      </w:pPr>
      <w:r w:rsidRPr="00E83362">
        <w:rPr>
          <w:sz w:val="24"/>
          <w:szCs w:val="24"/>
        </w:rPr>
        <w:t xml:space="preserve">Plusieurs chercheurs se sont intéressés aux avantages de l’intégration des TIC à des fins éducatives. Ainsi, Tardif et </w:t>
      </w:r>
      <w:proofErr w:type="spellStart"/>
      <w:r w:rsidRPr="00E83362">
        <w:rPr>
          <w:sz w:val="24"/>
          <w:szCs w:val="24"/>
        </w:rPr>
        <w:t>Mukamurera</w:t>
      </w:r>
      <w:proofErr w:type="spellEnd"/>
      <w:r w:rsidRPr="00E83362">
        <w:rPr>
          <w:sz w:val="24"/>
          <w:szCs w:val="24"/>
        </w:rPr>
        <w:t xml:space="preserve"> (1999) estiment que les TIC offrent « la possibilité (…) d’instaurer de nouveaux modes d’éducation et d’instruction, et surtout, d’inventer des formes nouvelles d’interactions pédagogiques ; des formes délocalisées » (Collectif, 2004: 12). De cette citation, plusieurs avantages de l'intégration des TIC peuvent être repérés. Ces avantages, non exhaustifs, nous les listerons dans les points </w:t>
      </w:r>
      <w:proofErr w:type="gramStart"/>
      <w:r w:rsidRPr="00E83362">
        <w:rPr>
          <w:sz w:val="24"/>
          <w:szCs w:val="24"/>
        </w:rPr>
        <w:t>suivants:</w:t>
      </w:r>
      <w:proofErr w:type="gramEnd"/>
      <w:r w:rsidRPr="00E83362">
        <w:rPr>
          <w:sz w:val="24"/>
          <w:szCs w:val="24"/>
        </w:rPr>
        <w:t xml:space="preserve"> </w:t>
      </w:r>
    </w:p>
    <w:p w:rsidR="00E83362" w:rsidRPr="00E83362" w:rsidRDefault="00E83362" w:rsidP="00E83362">
      <w:pPr>
        <w:spacing w:line="360" w:lineRule="auto"/>
        <w:jc w:val="both"/>
        <w:rPr>
          <w:b/>
          <w:bCs/>
          <w:sz w:val="24"/>
          <w:szCs w:val="24"/>
        </w:rPr>
      </w:pPr>
      <w:r w:rsidRPr="00E83362">
        <w:rPr>
          <w:b/>
          <w:bCs/>
          <w:sz w:val="24"/>
          <w:szCs w:val="24"/>
        </w:rPr>
        <w:t xml:space="preserve">Les acteurs de la classe : vers de nouveaux rôles </w:t>
      </w:r>
    </w:p>
    <w:p w:rsidR="00E83362" w:rsidRDefault="00E83362" w:rsidP="00E83362">
      <w:pPr>
        <w:spacing w:line="360" w:lineRule="auto"/>
        <w:jc w:val="both"/>
        <w:rPr>
          <w:sz w:val="24"/>
          <w:szCs w:val="24"/>
        </w:rPr>
      </w:pPr>
      <w:r w:rsidRPr="00E83362">
        <w:rPr>
          <w:sz w:val="24"/>
          <w:szCs w:val="24"/>
        </w:rPr>
        <w:t xml:space="preserve">Nous assistons actuellement au foisonnement des sources d’informations qui ont considérablement modifié le rôle des divers acteurs pédagogiques. Dans le passé, l’enseignant était la seule source de savoir et les apprenants n’avaient pas d’autres possibilités pour y accéder. Cependant, avec l’avènement des nouvelles technologies, l’enseignant n’est plus la source unique du savoir dans la mesure où divers documents de différents types sont à la portée des apprenants. En effet, l’imprimerie a contribué à la prolifération des livres et des ouvrages. De même, Internet leur a offert une infinité de ressources (documents, vidéos, livres, rapports, ouvrages, articles…) consultables à tout moment. La diversité des sources d’information a bouleversé le statut de l’enseignant à qui de nouveaux rôles sont </w:t>
      </w:r>
      <w:proofErr w:type="gramStart"/>
      <w:r w:rsidRPr="00E83362">
        <w:rPr>
          <w:sz w:val="24"/>
          <w:szCs w:val="24"/>
        </w:rPr>
        <w:t>attribués:</w:t>
      </w:r>
      <w:proofErr w:type="gramEnd"/>
      <w:r w:rsidRPr="00E83362">
        <w:rPr>
          <w:sz w:val="24"/>
          <w:szCs w:val="24"/>
        </w:rPr>
        <w:t xml:space="preserve"> Il est devenu un animateur, un facilitateur et un guide. Nous tenons à préciser que ces nouveaux rôles ne sont pas aisés à assurer dans la mesure où ils exigent plusieurs compétences telles que la compétence de communication, d'animation… </w:t>
      </w:r>
    </w:p>
    <w:p w:rsidR="001C1216" w:rsidRDefault="00E83362" w:rsidP="00E83362">
      <w:pPr>
        <w:spacing w:line="360" w:lineRule="auto"/>
        <w:jc w:val="both"/>
        <w:rPr>
          <w:b/>
          <w:bCs/>
          <w:sz w:val="24"/>
          <w:szCs w:val="24"/>
        </w:rPr>
      </w:pPr>
      <w:r w:rsidRPr="00E83362">
        <w:rPr>
          <w:b/>
          <w:bCs/>
          <w:sz w:val="24"/>
          <w:szCs w:val="24"/>
        </w:rPr>
        <w:t>Rénovation de pédagogie et de pratiques</w:t>
      </w:r>
    </w:p>
    <w:p w:rsidR="00E83362" w:rsidRDefault="00E83362" w:rsidP="00E83362">
      <w:pPr>
        <w:spacing w:line="360" w:lineRule="auto"/>
        <w:jc w:val="both"/>
      </w:pPr>
      <w:r>
        <w:t xml:space="preserve">L’apport indéniable des TIC est certainement la rénovation des pratiques enseignantes et pédagogiques. En effet, nous constatons que des pédagogies plus actives sont appliquées étant donné que les apprenants peuvent accéder aux diverses références bibliographiques que leurs enseignants proposent. A ce niveau, nous pouvons évoquer la pédagogie inversée que plusieurs enseignants appliquent même sans se rendre compte dans la mesure où des travaux de recherches sont menés dans un contexte extrascolaire pour être exposés puis discutés en classe. De même, l’enseignement en ligne, qui prend de l’ampleur dans de nombreux pays, devient une nécessité pour que les </w:t>
      </w:r>
      <w:r>
        <w:lastRenderedPageBreak/>
        <w:t>apprenants aient accès à leurs cours n’importe où et à n’importe quel moment. Cette situation a conduit à de nouvelles pratiques pédagogiques étant donné que l’enseignement ne se réduit plus à une communication des savoirs retenus. En effet, le plus important est de doter les apprenants de techniques et de stratégies efficaces leur permettant d’accéder aux savoirs de manière autonome. D’ailleurs, cette autonomie est le but de toute opération pédagogique.</w:t>
      </w:r>
    </w:p>
    <w:p w:rsidR="00E83362" w:rsidRDefault="00E83362" w:rsidP="00E83362">
      <w:pPr>
        <w:spacing w:line="360" w:lineRule="auto"/>
        <w:jc w:val="both"/>
        <w:rPr>
          <w:b/>
          <w:bCs/>
          <w:sz w:val="24"/>
          <w:szCs w:val="24"/>
        </w:rPr>
      </w:pPr>
      <w:r w:rsidRPr="00E83362">
        <w:rPr>
          <w:b/>
          <w:bCs/>
          <w:sz w:val="24"/>
          <w:szCs w:val="24"/>
        </w:rPr>
        <w:t>Apprentissage sans contraintes</w:t>
      </w:r>
    </w:p>
    <w:p w:rsidR="00E83362" w:rsidRDefault="00E83362" w:rsidP="00E83362">
      <w:pPr>
        <w:spacing w:line="360" w:lineRule="auto"/>
        <w:jc w:val="both"/>
      </w:pPr>
      <w:r>
        <w:t xml:space="preserve">Nous avons précédemment mentionné l’effacement de contraintes spatiale et temporelle avec l’intégration des TIC en éducation. Ainsi, le cours traditionnel se donnait en classe et les apprenants étaient contraints d’y assister pour savoir ce qui a été présenté par l’enseignant. Cependant, grâce à l’enseignement en ligne, les apprenants pourront consulter leurs cours n’importe où et à n’importe quel moment. Il en est de même pour les activités qu’ils pourraient réaliser et envoyer à n’importe quel moment. Nous ne pouvons pas à ce niveau ignorer un certain délaissement que cet enseignement en ligne provoque étant donné qu’il promeut une certaine passivité et négligence chez les apprenants. Cependant, nous savons à travers les différentes recherches menées sur l’acquisition cognitive que les apprenants ne sont plus attentifs au même moment et qu’ils n’apprennent plus du même </w:t>
      </w:r>
      <w:proofErr w:type="gramStart"/>
      <w:r>
        <w:t>rythme;</w:t>
      </w:r>
      <w:proofErr w:type="gramEnd"/>
      <w:r>
        <w:t xml:space="preserve"> ce qui légitime le recours aux TIC et à de nouveaux modes d’enseignement.</w:t>
      </w:r>
    </w:p>
    <w:p w:rsidR="00E83362" w:rsidRDefault="00E83362" w:rsidP="00E83362">
      <w:pPr>
        <w:spacing w:line="360" w:lineRule="auto"/>
        <w:jc w:val="both"/>
        <w:rPr>
          <w:b/>
          <w:bCs/>
          <w:sz w:val="24"/>
          <w:szCs w:val="24"/>
        </w:rPr>
      </w:pPr>
      <w:r w:rsidRPr="00E83362">
        <w:rPr>
          <w:b/>
          <w:bCs/>
          <w:sz w:val="24"/>
          <w:szCs w:val="24"/>
        </w:rPr>
        <w:t>Vers des situations authentiques</w:t>
      </w:r>
    </w:p>
    <w:p w:rsidR="00E83362" w:rsidRDefault="00E83362" w:rsidP="00E83362">
      <w:pPr>
        <w:spacing w:line="360" w:lineRule="auto"/>
        <w:jc w:val="both"/>
      </w:pPr>
      <w:r>
        <w:t>Les TIC offrent également la possibilité d’introduire en classe une diversité de situations authentiques, issues du vécu de l’apprenant, donnant ainsi sens aux apprentissages transmis</w:t>
      </w:r>
    </w:p>
    <w:p w:rsidR="00E83362" w:rsidRDefault="00E83362" w:rsidP="00E83362">
      <w:pPr>
        <w:spacing w:line="360" w:lineRule="auto"/>
        <w:jc w:val="both"/>
      </w:pPr>
      <w:r>
        <w:t xml:space="preserve">La proposition de ces situations s’impose pour plusieurs </w:t>
      </w:r>
      <w:proofErr w:type="gramStart"/>
      <w:r>
        <w:t>raisons:</w:t>
      </w:r>
      <w:proofErr w:type="gramEnd"/>
      <w:r>
        <w:t xml:space="preserve"> De telles situations ont l’avantage de répondre aux besoins réels des apprenants qui devraient être capables de transférer ce qu’ils ont appris dans leur vie sociale. Elles contribuent à transposer en classe certaines situations sociales, ce qui a un double avantage, car d’une part, nous pouvons mieux préparer les apprenants à agir dans leur société et d’autre part, nous leur révélons l’importance de ce qui est appris, élément qui crée une grande motivation à l’apprentissage. Elles permettent des apprentissages plus durables étant donné qu’elles exigent l’engagement des apprenants. Elles permettent aux apprenants d’activer leur répertoire cognitif afin de mieux intégrer les nouveaux apprentissages.</w:t>
      </w:r>
    </w:p>
    <w:p w:rsidR="00E83362" w:rsidRPr="00E83362" w:rsidRDefault="00E83362" w:rsidP="00E83362">
      <w:pPr>
        <w:spacing w:line="360" w:lineRule="auto"/>
        <w:jc w:val="both"/>
        <w:rPr>
          <w:b/>
          <w:bCs/>
        </w:rPr>
      </w:pPr>
      <w:bookmarkStart w:id="0" w:name="_GoBack"/>
      <w:r w:rsidRPr="00E83362">
        <w:rPr>
          <w:b/>
          <w:bCs/>
        </w:rPr>
        <w:t xml:space="preserve">Bibliographie : </w:t>
      </w:r>
    </w:p>
    <w:bookmarkEnd w:id="0"/>
    <w:p w:rsidR="00E83362" w:rsidRPr="00E83362" w:rsidRDefault="00E83362" w:rsidP="00E83362">
      <w:pPr>
        <w:spacing w:line="360" w:lineRule="auto"/>
        <w:jc w:val="both"/>
        <w:rPr>
          <w:b/>
          <w:bCs/>
          <w:sz w:val="32"/>
          <w:szCs w:val="32"/>
        </w:rPr>
      </w:pPr>
      <w:proofErr w:type="spellStart"/>
      <w:r>
        <w:t>Karsenti</w:t>
      </w:r>
      <w:proofErr w:type="spellEnd"/>
      <w:r>
        <w:t xml:space="preserve">, T., </w:t>
      </w:r>
      <w:proofErr w:type="spellStart"/>
      <w:r>
        <w:t>Collin</w:t>
      </w:r>
      <w:proofErr w:type="spellEnd"/>
      <w:r>
        <w:t xml:space="preserve">, S., Dupuis, A. Villeneuve, S., Dumouchel, G. et Robin, J.-P. (2012). Avantages et défis inhérents à l’usage des ordinateurs au primaire et au secondaire : 2e Enquête auprès de la Commission scolaire </w:t>
      </w:r>
      <w:proofErr w:type="spellStart"/>
      <w:r>
        <w:t>Eastern</w:t>
      </w:r>
      <w:proofErr w:type="spellEnd"/>
      <w:r>
        <w:t xml:space="preserve"> Townships. Faits saillants des principaux résultats de l’enquête réalisée. Montréal, </w:t>
      </w:r>
      <w:proofErr w:type="gramStart"/>
      <w:r>
        <w:t>QC:</w:t>
      </w:r>
      <w:proofErr w:type="gramEnd"/>
      <w:r>
        <w:t xml:space="preserve"> CRIFPE. </w:t>
      </w:r>
      <w:proofErr w:type="spellStart"/>
      <w:r>
        <w:t>Karsenti</w:t>
      </w:r>
      <w:proofErr w:type="spellEnd"/>
      <w:r>
        <w:t xml:space="preserve">, T., </w:t>
      </w:r>
      <w:proofErr w:type="spellStart"/>
      <w:r>
        <w:t>Collin</w:t>
      </w:r>
      <w:proofErr w:type="spellEnd"/>
      <w:r>
        <w:t xml:space="preserve">, S., Dupuis, A., Villeneuve, S., Dumouchel, G., &amp; Robin, J.-P. (2012). </w:t>
      </w:r>
      <w:proofErr w:type="spellStart"/>
      <w:r>
        <w:t>Benefits</w:t>
      </w:r>
      <w:proofErr w:type="spellEnd"/>
      <w:r>
        <w:t xml:space="preserve"> </w:t>
      </w:r>
      <w:r>
        <w:lastRenderedPageBreak/>
        <w:t xml:space="preserve">and challenges of </w:t>
      </w:r>
      <w:proofErr w:type="spellStart"/>
      <w:r>
        <w:t>using</w:t>
      </w:r>
      <w:proofErr w:type="spellEnd"/>
      <w:r>
        <w:t xml:space="preserve"> </w:t>
      </w:r>
      <w:proofErr w:type="spellStart"/>
      <w:r>
        <w:t>laptops</w:t>
      </w:r>
      <w:proofErr w:type="spellEnd"/>
      <w:r>
        <w:t xml:space="preserve"> in </w:t>
      </w:r>
      <w:proofErr w:type="spellStart"/>
      <w:r>
        <w:t>primary</w:t>
      </w:r>
      <w:proofErr w:type="spellEnd"/>
      <w:r>
        <w:t xml:space="preserve"> and </w:t>
      </w:r>
      <w:proofErr w:type="spellStart"/>
      <w:r>
        <w:t>secondary</w:t>
      </w:r>
      <w:proofErr w:type="spellEnd"/>
      <w:r>
        <w:t xml:space="preserve"> </w:t>
      </w:r>
      <w:proofErr w:type="spellStart"/>
      <w:proofErr w:type="gramStart"/>
      <w:r>
        <w:t>schools</w:t>
      </w:r>
      <w:proofErr w:type="spellEnd"/>
      <w:r>
        <w:t>:</w:t>
      </w:r>
      <w:proofErr w:type="gramEnd"/>
      <w:r>
        <w:t xml:space="preserve"> </w:t>
      </w:r>
      <w:proofErr w:type="spellStart"/>
      <w:r>
        <w:t>Results</w:t>
      </w:r>
      <w:proofErr w:type="spellEnd"/>
      <w:r>
        <w:t xml:space="preserve"> of the second investigation </w:t>
      </w:r>
      <w:proofErr w:type="spellStart"/>
      <w:r>
        <w:t>at</w:t>
      </w:r>
      <w:proofErr w:type="spellEnd"/>
      <w:r>
        <w:t xml:space="preserve"> the </w:t>
      </w:r>
      <w:proofErr w:type="spellStart"/>
      <w:r>
        <w:t>Eastern</w:t>
      </w:r>
      <w:proofErr w:type="spellEnd"/>
      <w:r>
        <w:t xml:space="preserve"> Townships </w:t>
      </w:r>
      <w:proofErr w:type="spellStart"/>
      <w:r>
        <w:t>School</w:t>
      </w:r>
      <w:proofErr w:type="spellEnd"/>
      <w:r>
        <w:t xml:space="preserve"> </w:t>
      </w:r>
      <w:proofErr w:type="spellStart"/>
      <w:r>
        <w:t>Board</w:t>
      </w:r>
      <w:proofErr w:type="spellEnd"/>
      <w:r>
        <w:t xml:space="preserve">. </w:t>
      </w:r>
      <w:proofErr w:type="spellStart"/>
      <w:r>
        <w:t>Summary</w:t>
      </w:r>
      <w:proofErr w:type="spellEnd"/>
      <w:r>
        <w:t xml:space="preserve"> of main </w:t>
      </w:r>
      <w:proofErr w:type="spellStart"/>
      <w:r>
        <w:t>results</w:t>
      </w:r>
      <w:proofErr w:type="spellEnd"/>
      <w:r>
        <w:t xml:space="preserve">. </w:t>
      </w:r>
      <w:proofErr w:type="spellStart"/>
      <w:r>
        <w:t>Montreal</w:t>
      </w:r>
      <w:proofErr w:type="spellEnd"/>
      <w:r>
        <w:t xml:space="preserve">, </w:t>
      </w:r>
      <w:proofErr w:type="gramStart"/>
      <w:r>
        <w:t>QC:</w:t>
      </w:r>
      <w:proofErr w:type="gramEnd"/>
      <w:r>
        <w:t xml:space="preserve"> CRIFPE. Tardif et </w:t>
      </w:r>
      <w:proofErr w:type="spellStart"/>
      <w:r>
        <w:t>Mukamurera</w:t>
      </w:r>
      <w:proofErr w:type="spellEnd"/>
      <w:r>
        <w:t xml:space="preserve">. (1999). Dans Collectif. (2004). Intégrer les TIC dans l’activité enseignante : </w:t>
      </w:r>
      <w:proofErr w:type="gramStart"/>
      <w:r>
        <w:t>quelle formations</w:t>
      </w:r>
      <w:proofErr w:type="gramEnd"/>
      <w:r>
        <w:t xml:space="preserve"> ? Quels savoirs ? Quelles pédagogies ? Les presses de l’université de Laval.</w:t>
      </w:r>
    </w:p>
    <w:sectPr w:rsidR="00E83362" w:rsidRPr="00E833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9D538B"/>
    <w:multiLevelType w:val="multilevel"/>
    <w:tmpl w:val="9FB8EE3C"/>
    <w:lvl w:ilvl="0">
      <w:start w:val="1"/>
      <w:numFmt w:val="decimal"/>
      <w:pStyle w:val="Titre1"/>
      <w:lvlText w:val="%1."/>
      <w:lvlJc w:val="left"/>
      <w:pPr>
        <w:ind w:left="360" w:hanging="360"/>
      </w:pPr>
    </w:lvl>
    <w:lvl w:ilvl="1">
      <w:start w:val="1"/>
      <w:numFmt w:val="decimal"/>
      <w:lvlText w:val="%1.%2"/>
      <w:lvlJc w:val="left"/>
      <w:pPr>
        <w:ind w:left="576" w:hanging="576"/>
      </w:pPr>
      <w:rPr>
        <w:i w:val="0"/>
        <w:iCs w:val="0"/>
      </w:rPr>
    </w:lvl>
    <w:lvl w:ilvl="2">
      <w:start w:val="1"/>
      <w:numFmt w:val="decimal"/>
      <w:pStyle w:val="Titre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4775188D"/>
    <w:multiLevelType w:val="multilevel"/>
    <w:tmpl w:val="27F2D5CC"/>
    <w:lvl w:ilvl="0">
      <w:start w:val="1"/>
      <w:numFmt w:val="decimal"/>
      <w:lvlText w:val="%1."/>
      <w:lvlJc w:val="left"/>
      <w:pPr>
        <w:tabs>
          <w:tab w:val="num" w:pos="720"/>
        </w:tabs>
        <w:ind w:left="720" w:hanging="720"/>
      </w:pPr>
    </w:lvl>
    <w:lvl w:ilvl="1">
      <w:start w:val="1"/>
      <w:numFmt w:val="decimal"/>
      <w:pStyle w:val="Titr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num>
  <w:num w:numId="3">
    <w:abstractNumId w:val="0"/>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62"/>
    <w:rsid w:val="001C1216"/>
    <w:rsid w:val="00411825"/>
    <w:rsid w:val="00AF2E53"/>
    <w:rsid w:val="00C47F6B"/>
    <w:rsid w:val="00E8336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397C6E-643B-442A-808E-82D8D3686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362"/>
  </w:style>
  <w:style w:type="paragraph" w:styleId="Titre1">
    <w:name w:val="heading 1"/>
    <w:basedOn w:val="Normal"/>
    <w:link w:val="Titre1Car"/>
    <w:uiPriority w:val="9"/>
    <w:qFormat/>
    <w:rsid w:val="00411825"/>
    <w:pPr>
      <w:numPr>
        <w:numId w:val="4"/>
      </w:numPr>
      <w:spacing w:before="100" w:beforeAutospacing="1" w:after="100" w:afterAutospacing="1" w:line="240" w:lineRule="auto"/>
      <w:jc w:val="both"/>
      <w:outlineLvl w:val="0"/>
    </w:pPr>
    <w:rPr>
      <w:rFonts w:ascii="Times New Roman" w:eastAsia="Times New Roman" w:hAnsi="Times New Roman" w:cs="Times New Roman"/>
      <w:b/>
      <w:bCs/>
      <w:kern w:val="36"/>
      <w:sz w:val="48"/>
      <w:szCs w:val="48"/>
      <w:lang w:val="en-US"/>
    </w:rPr>
  </w:style>
  <w:style w:type="paragraph" w:styleId="Titre2">
    <w:name w:val="heading 2"/>
    <w:basedOn w:val="Normal"/>
    <w:next w:val="Normal"/>
    <w:link w:val="Titre2Car"/>
    <w:uiPriority w:val="9"/>
    <w:unhideWhenUsed/>
    <w:qFormat/>
    <w:rsid w:val="00411825"/>
    <w:pPr>
      <w:keepNext/>
      <w:numPr>
        <w:ilvl w:val="1"/>
        <w:numId w:val="5"/>
      </w:numPr>
      <w:spacing w:before="240" w:after="60" w:line="240" w:lineRule="auto"/>
      <w:ind w:left="576" w:hanging="576"/>
      <w:outlineLvl w:val="1"/>
    </w:pPr>
    <w:rPr>
      <w:rFonts w:asciiTheme="majorBidi" w:eastAsia="Times New Roman" w:hAnsiTheme="majorBidi" w:cs="Times New Roman"/>
      <w:b/>
      <w:bCs/>
      <w:iCs/>
      <w:sz w:val="28"/>
      <w:szCs w:val="28"/>
      <w:lang w:val="en-US"/>
    </w:rPr>
  </w:style>
  <w:style w:type="paragraph" w:styleId="Titre3">
    <w:name w:val="heading 3"/>
    <w:basedOn w:val="Normal"/>
    <w:next w:val="Normal"/>
    <w:link w:val="Titre3Car"/>
    <w:uiPriority w:val="9"/>
    <w:unhideWhenUsed/>
    <w:qFormat/>
    <w:rsid w:val="00411825"/>
    <w:pPr>
      <w:keepNext/>
      <w:numPr>
        <w:ilvl w:val="2"/>
        <w:numId w:val="4"/>
      </w:numPr>
      <w:spacing w:before="240" w:after="60" w:line="240" w:lineRule="auto"/>
      <w:outlineLvl w:val="2"/>
    </w:pPr>
    <w:rPr>
      <w:rFonts w:asciiTheme="majorBidi" w:eastAsia="Times New Roman" w:hAnsiTheme="majorBidi" w:cs="Times New Roman"/>
      <w:b/>
      <w:bCs/>
      <w:sz w:val="26"/>
      <w:szCs w:val="2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C47F6B"/>
    <w:rPr>
      <w:rFonts w:ascii="Times New Roman" w:eastAsia="Times New Roman" w:hAnsi="Times New Roman" w:cs="Times New Roman"/>
      <w:b/>
      <w:bCs/>
      <w:kern w:val="36"/>
      <w:sz w:val="48"/>
      <w:szCs w:val="48"/>
    </w:rPr>
  </w:style>
  <w:style w:type="character" w:customStyle="1" w:styleId="Titre2Car">
    <w:name w:val="Titre 2 Car"/>
    <w:link w:val="Titre2"/>
    <w:uiPriority w:val="9"/>
    <w:rsid w:val="00411825"/>
    <w:rPr>
      <w:rFonts w:asciiTheme="majorBidi" w:eastAsia="Times New Roman" w:hAnsiTheme="majorBidi" w:cs="Times New Roman"/>
      <w:b/>
      <w:bCs/>
      <w:iCs/>
      <w:sz w:val="28"/>
      <w:szCs w:val="28"/>
    </w:rPr>
  </w:style>
  <w:style w:type="character" w:customStyle="1" w:styleId="Titre3Car">
    <w:name w:val="Titre 3 Car"/>
    <w:link w:val="Titre3"/>
    <w:uiPriority w:val="9"/>
    <w:rsid w:val="00411825"/>
    <w:rPr>
      <w:rFonts w:asciiTheme="majorBidi" w:eastAsia="Times New Roman" w:hAnsiTheme="majorBidi" w:cs="Times New Roman"/>
      <w:b/>
      <w:bCs/>
      <w:sz w:val="26"/>
      <w:szCs w:val="26"/>
    </w:rPr>
  </w:style>
  <w:style w:type="paragraph" w:styleId="Titre">
    <w:name w:val="Title"/>
    <w:basedOn w:val="Normal"/>
    <w:next w:val="Normal"/>
    <w:link w:val="TitreCar"/>
    <w:uiPriority w:val="10"/>
    <w:qFormat/>
    <w:rsid w:val="00411825"/>
    <w:pPr>
      <w:spacing w:before="240" w:after="60" w:line="240" w:lineRule="auto"/>
      <w:ind w:firstLine="567"/>
      <w:jc w:val="center"/>
      <w:outlineLvl w:val="0"/>
    </w:pPr>
    <w:rPr>
      <w:rFonts w:asciiTheme="majorBidi" w:eastAsiaTheme="majorEastAsia" w:hAnsiTheme="majorBidi" w:cstheme="majorBidi"/>
      <w:b/>
      <w:bCs/>
      <w:kern w:val="28"/>
      <w:sz w:val="32"/>
      <w:szCs w:val="32"/>
      <w:lang w:val="en-US"/>
    </w:rPr>
  </w:style>
  <w:style w:type="character" w:customStyle="1" w:styleId="TitreCar">
    <w:name w:val="Titre Car"/>
    <w:basedOn w:val="Policepardfaut"/>
    <w:link w:val="Titre"/>
    <w:uiPriority w:val="10"/>
    <w:rsid w:val="00411825"/>
    <w:rPr>
      <w:rFonts w:asciiTheme="majorBidi" w:eastAsiaTheme="majorEastAsia" w:hAnsiTheme="majorBid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911</Words>
  <Characters>5013</Characters>
  <Application>Microsoft Office Word</Application>
  <DocSecurity>0</DocSecurity>
  <Lines>41</Lines>
  <Paragraphs>11</Paragraphs>
  <ScaleCrop>false</ScaleCrop>
  <Company/>
  <LinksUpToDate>false</LinksUpToDate>
  <CharactersWithSpaces>5913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CorteC</dc:creator>
  <cp:keywords/>
  <dc:description/>
  <cp:lastModifiedBy>CorteC</cp:lastModifiedBy>
  <cp:revision>1</cp:revision>
  <dcterms:created xsi:type="dcterms:W3CDTF">2025-05-22T08:02:00Z</dcterms:created>
  <dcterms:modified xsi:type="dcterms:W3CDTF">2025-05-22T08:08:00Z</dcterms:modified>
</cp:coreProperties>
</file>