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259" w:rsidRDefault="00D62259" w:rsidP="004F2EC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622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المحاضرة ال</w:t>
      </w:r>
      <w:r w:rsidR="004F2E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رابعة</w:t>
      </w:r>
      <w:r w:rsidRPr="00D6225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4F2EC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خصائص العملية الاتصالية</w:t>
      </w:r>
    </w:p>
    <w:p w:rsidR="00D62259" w:rsidRPr="00D62259" w:rsidRDefault="00D62259" w:rsidP="00D6225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4F2ECD" w:rsidRPr="004F2ECD" w:rsidRDefault="004F2ECD" w:rsidP="004F2ECD">
      <w:pPr>
        <w:pStyle w:val="Paragraphedeliste"/>
        <w:spacing w:line="360" w:lineRule="auto"/>
        <w:ind w:left="28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خصائص الاتصال </w:t>
      </w:r>
      <w:r w:rsidRPr="004F2EC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وجهة نظر</w:t>
      </w: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الأنثروبولوجيا:</w:t>
      </w:r>
    </w:p>
    <w:p w:rsidR="004F2ECD" w:rsidRPr="004F2ECD" w:rsidRDefault="004F2ECD" w:rsidP="004F2ECD">
      <w:pPr>
        <w:pStyle w:val="Paragraphedeliste"/>
        <w:spacing w:line="360" w:lineRule="auto"/>
        <w:ind w:left="283" w:firstLine="425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يهدف هذا البحث إلى تحليل خصائص الاتصال من منظور أنثروبولوجي، مع التركيز على تأثيره في تشكيل الثقافة، ودوره في تعزيز أو إعادة إنتاج الهياكل الاجتماعية.</w:t>
      </w:r>
    </w:p>
    <w:p w:rsidR="004F2ECD" w:rsidRPr="004F2ECD" w:rsidRDefault="004F2ECD" w:rsidP="004F2EC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>الطابع الثقافي للاتصال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2ECD" w:rsidRPr="004F2ECD" w:rsidRDefault="004F2ECD" w:rsidP="004F2EC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الاتصال لا يحدث بمعزل عن الثقافة، بل هو تجلٍ للأنماط الثقافية السائدة.</w:t>
      </w:r>
    </w:p>
    <w:p w:rsidR="004F2ECD" w:rsidRPr="004F2ECD" w:rsidRDefault="004F2ECD" w:rsidP="004F2EC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تختلف معاني الكلمات والإيماءات والرموز من مجتمع إلى آخر، ما يجعل الاتصال عملية قائمة على التأويل الثقافي.</w:t>
      </w:r>
    </w:p>
    <w:p w:rsidR="004F2ECD" w:rsidRPr="004F2ECD" w:rsidRDefault="004F2ECD" w:rsidP="004F2ECD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على سبيل المثال، بعض الإيماءات التي تُعد إيجابية في ثقافة معينة قد تكون غير مقبولة في ثقافة أخرى، مما يعكس الطبيعة النسبية للاتصال.</w:t>
      </w:r>
    </w:p>
    <w:p w:rsidR="004F2ECD" w:rsidRPr="004F2ECD" w:rsidRDefault="004F2ECD" w:rsidP="004F2EC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>الاتصال كعملية ديناميكية ومتغيرة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الاتصال ليس عملية ثابتة، بل يتغير بتغير السياقات الاجتماعية والتكنولوجية.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يُظهر التحليل الأنثروبولوجي أنماط الاتصال في المجتمعات التقليدية مقابل المجتمعات الحديثة، حيث تؤدي التكنولوجيا إلى إعادة تشكيل أساليب التواصل وطرق نقل المعرفة.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يُعد التطور الرقمي مثالًا معاصرًا على كيفية إعادة تشكيل الاتصال الاجتماعي، حيث أصبح الاتصال عبر الوسائط الرقمية جزءًا من الثقافة العالمية.</w:t>
      </w:r>
    </w:p>
    <w:p w:rsidR="004F2ECD" w:rsidRPr="004F2ECD" w:rsidRDefault="004F2ECD" w:rsidP="004F2EC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>الاتصال كأداة للتماسك الاجتماعي وإعادة إنتاج الهياكل الاجتماعية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الاتصال يلعب دورًا في تعزيز الهوية الجماعية، حيث يسهم في نقل القيم والمعايير الاجتماعية عبر الأجيال.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lastRenderedPageBreak/>
        <w:t>في المجتمعات التقليدية، تلعب الرواية الشفوية دورًا رئيسيًا في الحفاظ على التراث الثقافي، بينما تعتمد المجتمعات الحديثة على أنظمة تعليمية وإعلامية معقدة لنقل المعرفة.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تُظهر الدراسات الأنثروبولوجية كيف يُستخدم الاتصال في تعزيز التراتبية الاجتماعية، سواء عبر اللغة أو أنماط التخاطب أو الاستخدام الرمزي للمساحات العامة والخاصة.</w:t>
      </w:r>
    </w:p>
    <w:p w:rsidR="004F2ECD" w:rsidRPr="004F2ECD" w:rsidRDefault="004F2ECD" w:rsidP="004F2EC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>التنوع في أنماط الاتصال (</w:t>
      </w:r>
      <w:r w:rsidRPr="004F2ECD">
        <w:rPr>
          <w:rFonts w:ascii="Simplified Arabic" w:hAnsi="Simplified Arabic" w:cs="Simplified Arabic"/>
          <w:b/>
          <w:bCs/>
          <w:sz w:val="28"/>
          <w:szCs w:val="28"/>
        </w:rPr>
        <w:t>Verbal &amp; Non-verbal Communication</w:t>
      </w: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ينقسم الاتصال إلى اتصال لفظي (</w:t>
      </w:r>
      <w:r w:rsidRPr="004F2ECD">
        <w:rPr>
          <w:rFonts w:ascii="Simplified Arabic" w:hAnsi="Simplified Arabic" w:cs="Simplified Arabic"/>
          <w:sz w:val="28"/>
          <w:szCs w:val="28"/>
        </w:rPr>
        <w:t>Verbal Communication</w:t>
      </w:r>
      <w:r w:rsidRPr="004F2ECD">
        <w:rPr>
          <w:rFonts w:ascii="Simplified Arabic" w:hAnsi="Simplified Arabic" w:cs="Simplified Arabic"/>
          <w:sz w:val="28"/>
          <w:szCs w:val="28"/>
          <w:rtl/>
        </w:rPr>
        <w:t>) يعتمد على اللغة المنطوقة أو المكتوبة، واتصال غير لفظي (</w:t>
      </w:r>
      <w:r w:rsidRPr="004F2ECD">
        <w:rPr>
          <w:rFonts w:ascii="Simplified Arabic" w:hAnsi="Simplified Arabic" w:cs="Simplified Arabic"/>
          <w:sz w:val="28"/>
          <w:szCs w:val="28"/>
        </w:rPr>
        <w:t>Non-verbal Communication</w:t>
      </w:r>
      <w:r w:rsidRPr="004F2ECD">
        <w:rPr>
          <w:rFonts w:ascii="Simplified Arabic" w:hAnsi="Simplified Arabic" w:cs="Simplified Arabic"/>
          <w:sz w:val="28"/>
          <w:szCs w:val="28"/>
          <w:rtl/>
        </w:rPr>
        <w:t>) يشمل الإيماءات، وتعابير الوجه، والمسافة الجسدية (</w:t>
      </w:r>
      <w:proofErr w:type="spellStart"/>
      <w:r w:rsidRPr="004F2ECD">
        <w:rPr>
          <w:rFonts w:ascii="Simplified Arabic" w:hAnsi="Simplified Arabic" w:cs="Simplified Arabic"/>
          <w:sz w:val="28"/>
          <w:szCs w:val="28"/>
        </w:rPr>
        <w:t>Proxemics</w:t>
      </w:r>
      <w:proofErr w:type="spellEnd"/>
      <w:r w:rsidRPr="004F2ECD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في المجتمعات الشفهية، يُعد السرد القصصي أداة رئيسية لنقل المعرفة، بينما تعتمد المجتمعات الحديثة على الاتصال الرقمي، مما يغيّر أساليب نقل المعلومات والتفاعل الاجتماعي.</w:t>
      </w:r>
    </w:p>
    <w:p w:rsidR="004F2ECD" w:rsidRPr="004F2ECD" w:rsidRDefault="004F2ECD" w:rsidP="004F2ECD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F2ECD">
        <w:rPr>
          <w:rFonts w:ascii="Simplified Arabic" w:hAnsi="Simplified Arabic" w:cs="Simplified Arabic"/>
          <w:b/>
          <w:bCs/>
          <w:sz w:val="28"/>
          <w:szCs w:val="28"/>
          <w:rtl/>
        </w:rPr>
        <w:t>تأثير العوامل التكنولوجية والإعلامية على أنماط الاتصال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r w:rsidRPr="004F2ECD">
        <w:rPr>
          <w:rFonts w:ascii="Simplified Arabic" w:hAnsi="Simplified Arabic" w:cs="Simplified Arabic"/>
          <w:sz w:val="28"/>
          <w:szCs w:val="28"/>
          <w:rtl/>
        </w:rPr>
        <w:t>مع تطور وسائل الإعلام والتكنولوجيا الرقمية، ظهر مفهوم "الأنثروبولوجيا الرقمية" (</w:t>
      </w:r>
      <w:r w:rsidRPr="004F2ECD">
        <w:rPr>
          <w:rFonts w:ascii="Simplified Arabic" w:hAnsi="Simplified Arabic" w:cs="Simplified Arabic"/>
          <w:sz w:val="28"/>
          <w:szCs w:val="28"/>
        </w:rPr>
        <w:t xml:space="preserve">Digital </w:t>
      </w:r>
      <w:proofErr w:type="spellStart"/>
      <w:r w:rsidRPr="004F2ECD">
        <w:rPr>
          <w:rFonts w:ascii="Simplified Arabic" w:hAnsi="Simplified Arabic" w:cs="Simplified Arabic"/>
          <w:sz w:val="28"/>
          <w:szCs w:val="28"/>
        </w:rPr>
        <w:t>Anthropology</w:t>
      </w:r>
      <w:proofErr w:type="spellEnd"/>
      <w:r w:rsidRPr="004F2ECD">
        <w:rPr>
          <w:rFonts w:ascii="Simplified Arabic" w:hAnsi="Simplified Arabic" w:cs="Simplified Arabic"/>
          <w:sz w:val="28"/>
          <w:szCs w:val="28"/>
          <w:rtl/>
        </w:rPr>
        <w:t>)، والذي يدرس تأثير الاتصال الإلكتروني على الثقافة والمجتمع.</w:t>
      </w:r>
    </w:p>
    <w:p w:rsidR="004F2ECD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أدى انتشار وسائل التواصل الاجتماعي إلى إعادة تشكيل العلاقات الاجتماعية، حيث أصبح الأفراد أكثر ارتباطًا بشبكات تواصل عابرة للحدود، مما أحدث تغيرات جوهرية في البنية الثقافية.</w:t>
      </w:r>
    </w:p>
    <w:p w:rsidR="00D659C4" w:rsidRPr="004F2ECD" w:rsidRDefault="004F2ECD" w:rsidP="004F2ECD">
      <w:pPr>
        <w:pStyle w:val="Paragraphedeliste"/>
        <w:numPr>
          <w:ilvl w:val="0"/>
          <w:numId w:val="9"/>
        </w:numPr>
        <w:spacing w:line="360" w:lineRule="auto"/>
        <w:jc w:val="both"/>
        <w:rPr>
          <w:sz w:val="20"/>
          <w:szCs w:val="20"/>
          <w:rtl/>
        </w:rPr>
      </w:pPr>
      <w:r w:rsidRPr="004F2ECD">
        <w:rPr>
          <w:rFonts w:ascii="Simplified Arabic" w:hAnsi="Simplified Arabic" w:cs="Simplified Arabic"/>
          <w:sz w:val="28"/>
          <w:szCs w:val="28"/>
          <w:rtl/>
        </w:rPr>
        <w:t>تُظهر الأبحاث أن الاتصال الرقمي يُسهم في إعادة تشكيل الهويات الثقافية، حيث يؤدي إلى تفاعل الثقافات المختلفة وتأثيرها المتبادل.</w:t>
      </w:r>
      <w:bookmarkEnd w:id="0"/>
    </w:p>
    <w:sectPr w:rsidR="00D659C4" w:rsidRPr="004F2ECD" w:rsidSect="00847115">
      <w:type w:val="continuous"/>
      <w:pgSz w:w="11906" w:h="16838" w:code="9"/>
      <w:pgMar w:top="1138" w:right="1138" w:bottom="1138" w:left="113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7955"/>
    <w:multiLevelType w:val="hybridMultilevel"/>
    <w:tmpl w:val="F40E8832"/>
    <w:lvl w:ilvl="0" w:tplc="06F8B296">
      <w:start w:val="2"/>
      <w:numFmt w:val="bullet"/>
      <w:lvlText w:val="•"/>
      <w:lvlJc w:val="left"/>
      <w:pPr>
        <w:ind w:left="991" w:hanging="425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D5F0F60"/>
    <w:multiLevelType w:val="hybridMultilevel"/>
    <w:tmpl w:val="FD5A120A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EF14DE7"/>
    <w:multiLevelType w:val="hybridMultilevel"/>
    <w:tmpl w:val="B0565C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C0A58"/>
    <w:multiLevelType w:val="hybridMultilevel"/>
    <w:tmpl w:val="E37EEF70"/>
    <w:lvl w:ilvl="0" w:tplc="06F8B296">
      <w:start w:val="2"/>
      <w:numFmt w:val="bullet"/>
      <w:lvlText w:val="•"/>
      <w:lvlJc w:val="left"/>
      <w:pPr>
        <w:ind w:left="991" w:hanging="425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311B07F3"/>
    <w:multiLevelType w:val="hybridMultilevel"/>
    <w:tmpl w:val="7D42E96C"/>
    <w:lvl w:ilvl="0" w:tplc="C23C1074">
      <w:start w:val="1"/>
      <w:numFmt w:val="bullet"/>
      <w:lvlText w:val="•"/>
      <w:lvlJc w:val="left"/>
      <w:pPr>
        <w:ind w:left="708" w:hanging="425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46C82B04"/>
    <w:multiLevelType w:val="hybridMultilevel"/>
    <w:tmpl w:val="927C3872"/>
    <w:lvl w:ilvl="0" w:tplc="06F8B296">
      <w:start w:val="2"/>
      <w:numFmt w:val="bullet"/>
      <w:lvlText w:val="•"/>
      <w:lvlJc w:val="left"/>
      <w:pPr>
        <w:ind w:left="708" w:hanging="425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9284CB2"/>
    <w:multiLevelType w:val="hybridMultilevel"/>
    <w:tmpl w:val="1D743336"/>
    <w:lvl w:ilvl="0" w:tplc="51BAC6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F287E0F"/>
    <w:multiLevelType w:val="hybridMultilevel"/>
    <w:tmpl w:val="A5FEAB28"/>
    <w:lvl w:ilvl="0" w:tplc="040C000F">
      <w:start w:val="1"/>
      <w:numFmt w:val="decimal"/>
      <w:lvlText w:val="%1.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5E791210"/>
    <w:multiLevelType w:val="hybridMultilevel"/>
    <w:tmpl w:val="36C6C570"/>
    <w:lvl w:ilvl="0" w:tplc="040C0001">
      <w:start w:val="1"/>
      <w:numFmt w:val="bullet"/>
      <w:lvlText w:val=""/>
      <w:lvlJc w:val="left"/>
      <w:pPr>
        <w:ind w:left="708" w:hanging="42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6346461E"/>
    <w:multiLevelType w:val="hybridMultilevel"/>
    <w:tmpl w:val="66C02980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6C03702F"/>
    <w:multiLevelType w:val="hybridMultilevel"/>
    <w:tmpl w:val="21BCAC40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7B663BA6"/>
    <w:multiLevelType w:val="hybridMultilevel"/>
    <w:tmpl w:val="0472CD9E"/>
    <w:lvl w:ilvl="0" w:tplc="06F8B296">
      <w:start w:val="2"/>
      <w:numFmt w:val="bullet"/>
      <w:lvlText w:val="•"/>
      <w:lvlJc w:val="left"/>
      <w:pPr>
        <w:ind w:left="991" w:hanging="425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4"/>
    <w:rsid w:val="0004545F"/>
    <w:rsid w:val="002B4AC3"/>
    <w:rsid w:val="002C43E4"/>
    <w:rsid w:val="003D4594"/>
    <w:rsid w:val="00446E85"/>
    <w:rsid w:val="004F2ECD"/>
    <w:rsid w:val="005737B6"/>
    <w:rsid w:val="006D6276"/>
    <w:rsid w:val="007B46AF"/>
    <w:rsid w:val="00847115"/>
    <w:rsid w:val="008668A1"/>
    <w:rsid w:val="009A75E4"/>
    <w:rsid w:val="00C66AEF"/>
    <w:rsid w:val="00D62259"/>
    <w:rsid w:val="00D659C4"/>
    <w:rsid w:val="00E50A92"/>
    <w:rsid w:val="00E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BBFF0-3997-4110-9EF4-CC949D46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777A892-1AC4-4DE5-8338-74EF9024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2025-05-05T22:34:00Z</cp:lastPrinted>
  <dcterms:created xsi:type="dcterms:W3CDTF">2025-05-05T22:39:00Z</dcterms:created>
  <dcterms:modified xsi:type="dcterms:W3CDTF">2025-05-05T22:39:00Z</dcterms:modified>
</cp:coreProperties>
</file>