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457"/>
        <w:tblW w:w="10140" w:type="dxa"/>
        <w:tblBorders>
          <w:top w:val="nil"/>
          <w:left w:val="nil"/>
          <w:bottom w:val="nil"/>
          <w:right w:val="nil"/>
          <w:insideH w:val="nil"/>
          <w:insideV w:val="nil"/>
        </w:tblBorders>
        <w:tblLayout w:type="fixed"/>
        <w:tblLook w:val="0600" w:firstRow="0" w:lastRow="0" w:firstColumn="0" w:lastColumn="0" w:noHBand="1" w:noVBand="1"/>
      </w:tblPr>
      <w:tblGrid>
        <w:gridCol w:w="6225"/>
        <w:gridCol w:w="240"/>
        <w:gridCol w:w="3675"/>
      </w:tblGrid>
      <w:tr w:rsidR="00A34FF5" w:rsidTr="00A34FF5">
        <w:trPr>
          <w:trHeight w:val="258"/>
        </w:trPr>
        <w:tc>
          <w:tcPr>
            <w:tcW w:w="6225" w:type="dxa"/>
            <w:tcBorders>
              <w:top w:val="nil"/>
              <w:left w:val="nil"/>
              <w:bottom w:val="single" w:sz="4" w:space="0" w:color="000000"/>
              <w:right w:val="nil"/>
            </w:tcBorders>
            <w:tcMar>
              <w:top w:w="0" w:type="dxa"/>
              <w:left w:w="100" w:type="dxa"/>
              <w:bottom w:w="0" w:type="dxa"/>
              <w:right w:w="100" w:type="dxa"/>
            </w:tcMar>
          </w:tcPr>
          <w:p w:rsidR="00A34FF5" w:rsidRDefault="00A34FF5" w:rsidP="00A34FF5">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Université Mohamed </w:t>
            </w:r>
            <w:proofErr w:type="spellStart"/>
            <w:r>
              <w:rPr>
                <w:rFonts w:ascii="Times New Roman" w:eastAsia="Times New Roman" w:hAnsi="Times New Roman" w:cs="Times New Roman"/>
                <w:b/>
                <w:sz w:val="18"/>
                <w:szCs w:val="18"/>
              </w:rPr>
              <w:t>Khider</w:t>
            </w:r>
            <w:proofErr w:type="spellEnd"/>
            <w:r>
              <w:rPr>
                <w:rFonts w:ascii="Times New Roman" w:eastAsia="Times New Roman" w:hAnsi="Times New Roman" w:cs="Times New Roman"/>
                <w:b/>
                <w:sz w:val="18"/>
                <w:szCs w:val="18"/>
              </w:rPr>
              <w:t xml:space="preserve"> – Biskra</w:t>
            </w:r>
          </w:p>
          <w:p w:rsidR="00A34FF5" w:rsidRDefault="00A34FF5" w:rsidP="00A34FF5">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Faculté des Lettres et des Langues</w:t>
            </w:r>
          </w:p>
          <w:p w:rsidR="00A34FF5" w:rsidRDefault="00A34FF5" w:rsidP="00A34FF5">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Département de Français</w:t>
            </w:r>
          </w:p>
          <w:p w:rsidR="00A34FF5" w:rsidRDefault="00A34FF5" w:rsidP="00A34FF5">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Enseignante : </w:t>
            </w:r>
            <w:proofErr w:type="spellStart"/>
            <w:r>
              <w:rPr>
                <w:rFonts w:ascii="Times New Roman" w:eastAsia="Times New Roman" w:hAnsi="Times New Roman" w:cs="Times New Roman"/>
                <w:b/>
                <w:sz w:val="18"/>
                <w:szCs w:val="18"/>
              </w:rPr>
              <w:t>Dre</w:t>
            </w:r>
            <w:proofErr w:type="spellEnd"/>
            <w:r>
              <w:rPr>
                <w:rFonts w:ascii="Times New Roman" w:eastAsia="Times New Roman" w:hAnsi="Times New Roman" w:cs="Times New Roman"/>
                <w:b/>
                <w:sz w:val="18"/>
                <w:szCs w:val="18"/>
              </w:rPr>
              <w:t>. Haddad M.</w:t>
            </w:r>
          </w:p>
          <w:p w:rsidR="00A34FF5" w:rsidRDefault="00A34FF5" w:rsidP="00A34FF5">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Chapitre </w:t>
            </w:r>
            <w:proofErr w:type="gramStart"/>
            <w:r>
              <w:rPr>
                <w:rFonts w:ascii="Times New Roman" w:eastAsia="Times New Roman" w:hAnsi="Times New Roman" w:cs="Times New Roman"/>
                <w:b/>
                <w:sz w:val="18"/>
                <w:szCs w:val="18"/>
              </w:rPr>
              <w:t>3</w:t>
            </w:r>
            <w:r>
              <w:rPr>
                <w:rFonts w:ascii="Times New Roman" w:eastAsia="Times New Roman" w:hAnsi="Times New Roman" w:cs="Times New Roman"/>
                <w:b/>
                <w:sz w:val="18"/>
                <w:szCs w:val="18"/>
              </w:rPr>
              <w:t xml:space="preserve">  :</w:t>
            </w:r>
            <w:proofErr w:type="gramEnd"/>
            <w:r>
              <w:rPr>
                <w:rFonts w:ascii="Times New Roman" w:eastAsia="Times New Roman" w:hAnsi="Times New Roman" w:cs="Times New Roman"/>
                <w:b/>
                <w:sz w:val="18"/>
                <w:szCs w:val="18"/>
              </w:rPr>
              <w:t xml:space="preserve"> TIC : </w:t>
            </w:r>
            <w:r>
              <w:rPr>
                <w:rFonts w:ascii="Times New Roman" w:eastAsia="Times New Roman" w:hAnsi="Times New Roman" w:cs="Times New Roman"/>
                <w:b/>
                <w:sz w:val="18"/>
                <w:szCs w:val="18"/>
              </w:rPr>
              <w:t>les outils TIC employés pour la recherche universitaire</w:t>
            </w:r>
          </w:p>
        </w:tc>
        <w:tc>
          <w:tcPr>
            <w:tcW w:w="240" w:type="dxa"/>
            <w:tcBorders>
              <w:top w:val="nil"/>
              <w:left w:val="nil"/>
              <w:bottom w:val="nil"/>
              <w:right w:val="nil"/>
            </w:tcBorders>
            <w:tcMar>
              <w:top w:w="0" w:type="dxa"/>
              <w:left w:w="100" w:type="dxa"/>
              <w:bottom w:w="0" w:type="dxa"/>
              <w:right w:w="100" w:type="dxa"/>
            </w:tcMar>
          </w:tcPr>
          <w:p w:rsidR="00A34FF5" w:rsidRDefault="00A34FF5" w:rsidP="00A34FF5">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675" w:type="dxa"/>
            <w:tcBorders>
              <w:top w:val="nil"/>
              <w:left w:val="nil"/>
              <w:bottom w:val="nil"/>
              <w:right w:val="nil"/>
            </w:tcBorders>
            <w:tcMar>
              <w:top w:w="0" w:type="dxa"/>
              <w:left w:w="100" w:type="dxa"/>
              <w:bottom w:w="0" w:type="dxa"/>
              <w:right w:w="100" w:type="dxa"/>
            </w:tcMar>
          </w:tcPr>
          <w:p w:rsidR="00A34FF5" w:rsidRDefault="00A34FF5" w:rsidP="00A34FF5">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Module :</w:t>
            </w:r>
            <w:r>
              <w:rPr>
                <w:rFonts w:ascii="Times New Roman" w:eastAsia="Times New Roman" w:hAnsi="Times New Roman" w:cs="Times New Roman"/>
                <w:sz w:val="18"/>
                <w:szCs w:val="18"/>
              </w:rPr>
              <w:t xml:space="preserve"> Techniques d’information et de communication</w:t>
            </w:r>
          </w:p>
          <w:p w:rsidR="00A34FF5" w:rsidRDefault="00A34FF5" w:rsidP="00A34FF5">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Niveau :</w:t>
            </w:r>
            <w:r>
              <w:rPr>
                <w:rFonts w:ascii="Times New Roman" w:eastAsia="Times New Roman" w:hAnsi="Times New Roman" w:cs="Times New Roman"/>
                <w:sz w:val="18"/>
                <w:szCs w:val="18"/>
              </w:rPr>
              <w:t xml:space="preserve"> L3</w:t>
            </w:r>
          </w:p>
          <w:p w:rsidR="00A34FF5" w:rsidRDefault="00A34FF5" w:rsidP="00A34FF5">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Année :</w:t>
            </w:r>
            <w:r>
              <w:rPr>
                <w:rFonts w:ascii="Times New Roman" w:eastAsia="Times New Roman" w:hAnsi="Times New Roman" w:cs="Times New Roman"/>
                <w:sz w:val="18"/>
                <w:szCs w:val="18"/>
              </w:rPr>
              <w:t xml:space="preserve"> 2024-2025</w:t>
            </w:r>
          </w:p>
          <w:p w:rsidR="00A34FF5" w:rsidRDefault="00A34FF5" w:rsidP="00A34FF5">
            <w:pPr>
              <w:spacing w:line="240" w:lineRule="auto"/>
              <w:rPr>
                <w:rFonts w:ascii="Times New Roman" w:eastAsia="Times New Roman" w:hAnsi="Times New Roman" w:cs="Times New Roman"/>
                <w:sz w:val="18"/>
                <w:szCs w:val="18"/>
              </w:rPr>
            </w:pPr>
          </w:p>
          <w:p w:rsidR="00A34FF5" w:rsidRDefault="00A34FF5" w:rsidP="00A34FF5">
            <w:pPr>
              <w:spacing w:line="240" w:lineRule="auto"/>
              <w:rPr>
                <w:rFonts w:ascii="Times New Roman" w:eastAsia="Times New Roman" w:hAnsi="Times New Roman" w:cs="Times New Roman"/>
                <w:sz w:val="18"/>
                <w:szCs w:val="18"/>
              </w:rPr>
            </w:pPr>
          </w:p>
        </w:tc>
      </w:tr>
    </w:tbl>
    <w:p w:rsidR="001C1216" w:rsidRDefault="001C1216"/>
    <w:p w:rsidR="00A34FF5" w:rsidRDefault="00A34FF5" w:rsidP="00A34FF5">
      <w:pPr>
        <w:pStyle w:val="NormalWeb"/>
        <w:jc w:val="both"/>
      </w:pPr>
      <w:r>
        <w:t>Dans le paysage académique et de la recherche contemporaine, la maîtrise des Technologies de l'Information et de la Communication (TIC) se révèle indispensable. Un éventail d'outils numériques spécifiques facilite chaque étape du processus, de la quête d'informations à la diffusion des découvertes.</w:t>
      </w:r>
    </w:p>
    <w:p w:rsidR="00A34FF5" w:rsidRDefault="00A34FF5" w:rsidP="00A34FF5">
      <w:pPr>
        <w:pStyle w:val="NormalWeb"/>
        <w:jc w:val="both"/>
      </w:pPr>
      <w:r>
        <w:rPr>
          <w:rStyle w:val="lev"/>
        </w:rPr>
        <w:t>1. Outils de Recherche Documentaire : La Clé de l'Information Scientifique</w:t>
      </w:r>
    </w:p>
    <w:p w:rsidR="00A34FF5" w:rsidRDefault="00A34FF5" w:rsidP="00A34FF5">
      <w:pPr>
        <w:pStyle w:val="NormalWeb"/>
        <w:jc w:val="both"/>
      </w:pPr>
      <w:r>
        <w:t xml:space="preserve">Pour la recherche documentaire, les étudiants et chercheurs disposent d'une pléthore de plateformes et de bases de données spécialisées. Des moteurs de recherche académiques comme </w:t>
      </w:r>
      <w:r>
        <w:rPr>
          <w:rStyle w:val="lev"/>
        </w:rPr>
        <w:t xml:space="preserve">Google </w:t>
      </w:r>
      <w:proofErr w:type="spellStart"/>
      <w:r>
        <w:rPr>
          <w:rStyle w:val="lev"/>
        </w:rPr>
        <w:t>Scholar</w:t>
      </w:r>
      <w:proofErr w:type="spellEnd"/>
      <w:r>
        <w:t xml:space="preserve"> permettent d'explorer la littérature scientifique mondiale. Des portails tels que </w:t>
      </w:r>
      <w:r>
        <w:rPr>
          <w:rStyle w:val="lev"/>
        </w:rPr>
        <w:t>Cairn.info</w:t>
      </w:r>
      <w:r>
        <w:t xml:space="preserve">, </w:t>
      </w:r>
      <w:r>
        <w:rPr>
          <w:rStyle w:val="lev"/>
        </w:rPr>
        <w:t>JSTOR</w:t>
      </w:r>
      <w:r>
        <w:t xml:space="preserve">, </w:t>
      </w:r>
      <w:r>
        <w:rPr>
          <w:rStyle w:val="lev"/>
        </w:rPr>
        <w:t>Persée</w:t>
      </w:r>
      <w:r>
        <w:t xml:space="preserve"> et </w:t>
      </w:r>
      <w:r>
        <w:rPr>
          <w:rStyle w:val="lev"/>
        </w:rPr>
        <w:t>Isidore</w:t>
      </w:r>
      <w:r>
        <w:t xml:space="preserve"> offrent un accès privilégié à des collections de revues, d'ouvrages et d'archives. Les </w:t>
      </w:r>
      <w:r>
        <w:rPr>
          <w:rStyle w:val="lev"/>
        </w:rPr>
        <w:t>bases de données universitaires</w:t>
      </w:r>
      <w:r>
        <w:t xml:space="preserve"> de renom, à l'instar de </w:t>
      </w:r>
      <w:r>
        <w:rPr>
          <w:rStyle w:val="lev"/>
        </w:rPr>
        <w:t>Web of Science</w:t>
      </w:r>
      <w:r>
        <w:t xml:space="preserve"> et </w:t>
      </w:r>
      <w:proofErr w:type="spellStart"/>
      <w:r>
        <w:rPr>
          <w:rStyle w:val="lev"/>
        </w:rPr>
        <w:t>Scopus</w:t>
      </w:r>
      <w:proofErr w:type="spellEnd"/>
      <w:r>
        <w:t xml:space="preserve">, constituent des sources d'informations bibliographiques et citationnelles cruciales. Les </w:t>
      </w:r>
      <w:r>
        <w:rPr>
          <w:rStyle w:val="lev"/>
        </w:rPr>
        <w:t>catalogues de bibliothèques</w:t>
      </w:r>
      <w:r>
        <w:t xml:space="preserve"> comme </w:t>
      </w:r>
      <w:proofErr w:type="spellStart"/>
      <w:r>
        <w:rPr>
          <w:rStyle w:val="lev"/>
        </w:rPr>
        <w:t>Worldcat</w:t>
      </w:r>
      <w:proofErr w:type="spellEnd"/>
      <w:r>
        <w:t xml:space="preserve"> ouvrent les portes des collections physiques et numériques à travers le globe. Enfin, des outils émergents basés sur l'intelligence artificielle, tels qu'</w:t>
      </w:r>
      <w:proofErr w:type="spellStart"/>
      <w:r>
        <w:rPr>
          <w:rStyle w:val="lev"/>
        </w:rPr>
        <w:t>Elicit</w:t>
      </w:r>
      <w:proofErr w:type="spellEnd"/>
      <w:r>
        <w:t xml:space="preserve"> et </w:t>
      </w:r>
      <w:r>
        <w:rPr>
          <w:rStyle w:val="lev"/>
        </w:rPr>
        <w:t>Consensus</w:t>
      </w:r>
      <w:r>
        <w:t>, aident à extraire des informations et à synthétiser les consensus scientifiques, tandis qu'</w:t>
      </w:r>
      <w:r>
        <w:rPr>
          <w:rStyle w:val="lev"/>
        </w:rPr>
        <w:t>ASJP</w:t>
      </w:r>
      <w:r>
        <w:t xml:space="preserve"> se concentre sur la production scientifique algérienne.</w:t>
      </w:r>
    </w:p>
    <w:p w:rsidR="00A34FF5" w:rsidRDefault="00A34FF5" w:rsidP="00A34FF5">
      <w:pPr>
        <w:pStyle w:val="NormalWeb"/>
        <w:jc w:val="both"/>
      </w:pPr>
      <w:r>
        <w:rPr>
          <w:rStyle w:val="lev"/>
        </w:rPr>
        <w:t>2. Outils de Traitement de Texte : L'Art de la Rédaction Académique</w:t>
      </w:r>
    </w:p>
    <w:p w:rsidR="00A34FF5" w:rsidRDefault="00A34FF5" w:rsidP="00A34FF5">
      <w:pPr>
        <w:pStyle w:val="NormalWeb"/>
        <w:jc w:val="both"/>
      </w:pPr>
      <w:r>
        <w:t xml:space="preserve">Une fois l'information collectée, les </w:t>
      </w:r>
      <w:r>
        <w:rPr>
          <w:rStyle w:val="lev"/>
        </w:rPr>
        <w:t>outils de traitement de texte</w:t>
      </w:r>
      <w:r>
        <w:t xml:space="preserve"> deviennent essentiels pour la rédaction et la mise en forme des travaux. Les logiciels classiques comme </w:t>
      </w:r>
      <w:r>
        <w:rPr>
          <w:rStyle w:val="lev"/>
        </w:rPr>
        <w:t>Microsoft Word</w:t>
      </w:r>
      <w:r>
        <w:t xml:space="preserve">, </w:t>
      </w:r>
      <w:proofErr w:type="spellStart"/>
      <w:r>
        <w:rPr>
          <w:rStyle w:val="lev"/>
        </w:rPr>
        <w:t>LibreOffice</w:t>
      </w:r>
      <w:proofErr w:type="spellEnd"/>
      <w:r>
        <w:rPr>
          <w:rStyle w:val="lev"/>
        </w:rPr>
        <w:t xml:space="preserve"> </w:t>
      </w:r>
      <w:proofErr w:type="spellStart"/>
      <w:r>
        <w:rPr>
          <w:rStyle w:val="lev"/>
        </w:rPr>
        <w:t>Writer</w:t>
      </w:r>
      <w:proofErr w:type="spellEnd"/>
      <w:r>
        <w:t xml:space="preserve"> et </w:t>
      </w:r>
      <w:r>
        <w:rPr>
          <w:rStyle w:val="lev"/>
        </w:rPr>
        <w:t>Google Docs</w:t>
      </w:r>
      <w:r>
        <w:t xml:space="preserve"> offrent des fonctionnalités avancées pour la création de documents. De plus, l'intégration de l'intelligence artificielle dans des outils tels que </w:t>
      </w:r>
      <w:proofErr w:type="spellStart"/>
      <w:r>
        <w:rPr>
          <w:rStyle w:val="lev"/>
        </w:rPr>
        <w:t>ChatGPT</w:t>
      </w:r>
      <w:proofErr w:type="spellEnd"/>
      <w:r>
        <w:t xml:space="preserve">, </w:t>
      </w:r>
      <w:r>
        <w:rPr>
          <w:rStyle w:val="lev"/>
        </w:rPr>
        <w:t>Gemini</w:t>
      </w:r>
      <w:r>
        <w:t xml:space="preserve"> et </w:t>
      </w:r>
      <w:r>
        <w:rPr>
          <w:rStyle w:val="lev"/>
        </w:rPr>
        <w:t>Poe</w:t>
      </w:r>
      <w:r>
        <w:t xml:space="preserve"> ouvre de nouvelles perspectives pour l'assistance à la rédaction et la génération d'idées.</w:t>
      </w:r>
    </w:p>
    <w:p w:rsidR="00A34FF5" w:rsidRDefault="00A34FF5" w:rsidP="00A34FF5">
      <w:pPr>
        <w:pStyle w:val="NormalWeb"/>
        <w:jc w:val="both"/>
      </w:pPr>
      <w:r>
        <w:rPr>
          <w:rStyle w:val="lev"/>
        </w:rPr>
        <w:t>3. Outils de Référencement et de Citation : Garantir l'Intégrité Intellectuelle</w:t>
      </w:r>
    </w:p>
    <w:p w:rsidR="00A34FF5" w:rsidRDefault="00A34FF5" w:rsidP="00A34FF5">
      <w:pPr>
        <w:pStyle w:val="NormalWeb"/>
        <w:jc w:val="both"/>
      </w:pPr>
      <w:r>
        <w:t xml:space="preserve">La gestion des sources et la citation appropriée sont des aspects fondamentaux de l'intégrité académique. Les </w:t>
      </w:r>
      <w:r>
        <w:rPr>
          <w:rStyle w:val="lev"/>
        </w:rPr>
        <w:t>outils de référencement et de citation</w:t>
      </w:r>
      <w:r>
        <w:t xml:space="preserve"> tels que </w:t>
      </w:r>
      <w:proofErr w:type="spellStart"/>
      <w:r>
        <w:rPr>
          <w:rStyle w:val="lev"/>
        </w:rPr>
        <w:t>Zotero</w:t>
      </w:r>
      <w:proofErr w:type="spellEnd"/>
      <w:r>
        <w:t xml:space="preserve">, </w:t>
      </w:r>
      <w:proofErr w:type="spellStart"/>
      <w:r>
        <w:rPr>
          <w:rStyle w:val="lev"/>
        </w:rPr>
        <w:t>Mendeley</w:t>
      </w:r>
      <w:proofErr w:type="spellEnd"/>
      <w:r>
        <w:t xml:space="preserve"> et </w:t>
      </w:r>
      <w:proofErr w:type="spellStart"/>
      <w:r>
        <w:rPr>
          <w:rStyle w:val="lev"/>
        </w:rPr>
        <w:t>EndNote</w:t>
      </w:r>
      <w:proofErr w:type="spellEnd"/>
      <w:r>
        <w:t xml:space="preserve"> facilitent l'organisation des références bibliographiques et l'insertion automatique de citations dans différents styles. Des outils en ligne comme </w:t>
      </w:r>
      <w:proofErr w:type="spellStart"/>
      <w:r>
        <w:rPr>
          <w:rStyle w:val="lev"/>
        </w:rPr>
        <w:t>Citethisforme</w:t>
      </w:r>
      <w:proofErr w:type="spellEnd"/>
      <w:r>
        <w:t xml:space="preserve"> et </w:t>
      </w:r>
      <w:proofErr w:type="spellStart"/>
      <w:r>
        <w:rPr>
          <w:rStyle w:val="lev"/>
        </w:rPr>
        <w:t>scite</w:t>
      </w:r>
      <w:proofErr w:type="spellEnd"/>
      <w:r>
        <w:t xml:space="preserve"> offrent des solutions rapides pour la génération de citations et l'analyse du contexte citationnel.</w:t>
      </w:r>
    </w:p>
    <w:p w:rsidR="00A34FF5" w:rsidRDefault="00A34FF5" w:rsidP="00A34FF5">
      <w:pPr>
        <w:pStyle w:val="NormalWeb"/>
        <w:jc w:val="both"/>
      </w:pPr>
      <w:r>
        <w:rPr>
          <w:rStyle w:val="lev"/>
        </w:rPr>
        <w:t>4. Outils de Diffusion et de Présentation de Recherche : Communiquer Efficacement</w:t>
      </w:r>
    </w:p>
    <w:p w:rsidR="00A34FF5" w:rsidRDefault="00A34FF5" w:rsidP="00A34FF5">
      <w:pPr>
        <w:pStyle w:val="NormalWeb"/>
        <w:jc w:val="both"/>
      </w:pPr>
      <w:r>
        <w:t xml:space="preserve">La diffusion des résultats de la recherche et leur présentation efficace sont cruciales pour la communication scientifique. Des logiciels de présentation comme </w:t>
      </w:r>
      <w:r>
        <w:rPr>
          <w:rStyle w:val="lev"/>
        </w:rPr>
        <w:t>PowerPoint</w:t>
      </w:r>
      <w:r>
        <w:t xml:space="preserve">, </w:t>
      </w:r>
      <w:r>
        <w:rPr>
          <w:rStyle w:val="lev"/>
        </w:rPr>
        <w:t xml:space="preserve">Google </w:t>
      </w:r>
      <w:proofErr w:type="spellStart"/>
      <w:r>
        <w:rPr>
          <w:rStyle w:val="lev"/>
        </w:rPr>
        <w:t>Slides</w:t>
      </w:r>
      <w:proofErr w:type="spellEnd"/>
      <w:r>
        <w:t xml:space="preserve"> et </w:t>
      </w:r>
      <w:proofErr w:type="spellStart"/>
      <w:r>
        <w:rPr>
          <w:rStyle w:val="lev"/>
        </w:rPr>
        <w:t>Prezi</w:t>
      </w:r>
      <w:proofErr w:type="spellEnd"/>
      <w:r>
        <w:t xml:space="preserve"> permettent de créer des supports visuels dynamiques. Des plateformes de conception graphique telles que </w:t>
      </w:r>
      <w:proofErr w:type="spellStart"/>
      <w:r>
        <w:rPr>
          <w:rStyle w:val="lev"/>
        </w:rPr>
        <w:t>Canva</w:t>
      </w:r>
      <w:proofErr w:type="spellEnd"/>
      <w:r>
        <w:t xml:space="preserve"> et </w:t>
      </w:r>
      <w:proofErr w:type="spellStart"/>
      <w:r>
        <w:rPr>
          <w:rStyle w:val="lev"/>
        </w:rPr>
        <w:t>Genially</w:t>
      </w:r>
      <w:proofErr w:type="spellEnd"/>
      <w:r>
        <w:t xml:space="preserve"> offrent des alternatives créatives pour des présentations plus engageantes. Les </w:t>
      </w:r>
      <w:r>
        <w:rPr>
          <w:rStyle w:val="lev"/>
        </w:rPr>
        <w:t>plateformes de partage de documents</w:t>
      </w:r>
      <w:r>
        <w:t xml:space="preserve"> comme </w:t>
      </w:r>
      <w:proofErr w:type="spellStart"/>
      <w:r>
        <w:rPr>
          <w:rStyle w:val="lev"/>
        </w:rPr>
        <w:t>ResearchGate</w:t>
      </w:r>
      <w:proofErr w:type="spellEnd"/>
      <w:r>
        <w:t xml:space="preserve"> et </w:t>
      </w:r>
      <w:r>
        <w:rPr>
          <w:rStyle w:val="lev"/>
        </w:rPr>
        <w:lastRenderedPageBreak/>
        <w:t>Academia.edu</w:t>
      </w:r>
      <w:r>
        <w:t xml:space="preserve"> facilitent la diffusion des publications auprès de la communauté scientifique. Des outils spécialisés comme </w:t>
      </w:r>
      <w:proofErr w:type="spellStart"/>
      <w:r>
        <w:rPr>
          <w:rStyle w:val="lev"/>
        </w:rPr>
        <w:t>PosterMyWall</w:t>
      </w:r>
      <w:proofErr w:type="spellEnd"/>
      <w:r>
        <w:t xml:space="preserve">, </w:t>
      </w:r>
      <w:r>
        <w:rPr>
          <w:rStyle w:val="lev"/>
        </w:rPr>
        <w:t>Tome</w:t>
      </w:r>
      <w:r>
        <w:t xml:space="preserve"> et </w:t>
      </w:r>
      <w:r>
        <w:rPr>
          <w:rStyle w:val="lev"/>
        </w:rPr>
        <w:t>Beautiful.ai</w:t>
      </w:r>
      <w:r>
        <w:t xml:space="preserve"> simplifient la création de posters scientifiques percutants.</w:t>
      </w:r>
    </w:p>
    <w:p w:rsidR="00A34FF5" w:rsidRDefault="00A34FF5" w:rsidP="00A34FF5">
      <w:pPr>
        <w:pStyle w:val="NormalWeb"/>
        <w:jc w:val="both"/>
      </w:pPr>
      <w:r>
        <w:rPr>
          <w:rStyle w:val="lev"/>
        </w:rPr>
        <w:t>5. Outils de Conversion et de Supports : La Gestion Pratique des Fichiers</w:t>
      </w:r>
    </w:p>
    <w:p w:rsidR="00A34FF5" w:rsidRDefault="00A34FF5" w:rsidP="00A34FF5">
      <w:pPr>
        <w:pStyle w:val="NormalWeb"/>
        <w:jc w:val="both"/>
      </w:pPr>
      <w:r>
        <w:t xml:space="preserve">Enfin, la gestion des différents formats de fichiers est une nécessité pratique. Les </w:t>
      </w:r>
      <w:r>
        <w:rPr>
          <w:rStyle w:val="lev"/>
        </w:rPr>
        <w:t>outils de conversion</w:t>
      </w:r>
      <w:r>
        <w:t xml:space="preserve"> en ligne comme </w:t>
      </w:r>
      <w:proofErr w:type="spellStart"/>
      <w:r>
        <w:rPr>
          <w:rStyle w:val="lev"/>
        </w:rPr>
        <w:t>Convertio</w:t>
      </w:r>
      <w:proofErr w:type="spellEnd"/>
      <w:r>
        <w:t xml:space="preserve"> et </w:t>
      </w:r>
      <w:proofErr w:type="spellStart"/>
      <w:r>
        <w:rPr>
          <w:rStyle w:val="lev"/>
        </w:rPr>
        <w:t>Zamzar</w:t>
      </w:r>
      <w:proofErr w:type="spellEnd"/>
      <w:r>
        <w:t xml:space="preserve"> permettent de transformer des fichiers d'un format à un autre. </w:t>
      </w:r>
      <w:r>
        <w:rPr>
          <w:rStyle w:val="lev"/>
        </w:rPr>
        <w:t>Adobe Acrobat</w:t>
      </w:r>
      <w:r>
        <w:t xml:space="preserve"> offre des fonctionnalités avancées pour la manipulation des fichiers PDF. Les </w:t>
      </w:r>
      <w:r>
        <w:rPr>
          <w:rStyle w:val="lev"/>
        </w:rPr>
        <w:t>outils de capture d'écran</w:t>
      </w:r>
      <w:r>
        <w:t xml:space="preserve"> comme </w:t>
      </w:r>
      <w:proofErr w:type="spellStart"/>
      <w:r>
        <w:rPr>
          <w:rStyle w:val="lev"/>
        </w:rPr>
        <w:t>Snagit</w:t>
      </w:r>
      <w:proofErr w:type="spellEnd"/>
      <w:r>
        <w:t xml:space="preserve"> facilitent la documentation visuelle, tandis que les </w:t>
      </w:r>
      <w:r>
        <w:rPr>
          <w:rStyle w:val="lev"/>
        </w:rPr>
        <w:t>outils de compression de fichiers</w:t>
      </w:r>
      <w:r>
        <w:t xml:space="preserve"> comme </w:t>
      </w:r>
      <w:r>
        <w:rPr>
          <w:rStyle w:val="lev"/>
        </w:rPr>
        <w:t>7-Zip</w:t>
      </w:r>
      <w:r>
        <w:t xml:space="preserve"> permettent de réduire la taille des fichiers pour faciliter leur partage et leur stockage.</w:t>
      </w:r>
    </w:p>
    <w:p w:rsidR="00A34FF5" w:rsidRDefault="00A34FF5" w:rsidP="00A34FF5">
      <w:pPr>
        <w:pStyle w:val="NormalWeb"/>
        <w:jc w:val="both"/>
      </w:pPr>
      <w:r>
        <w:t>En somme, cette panoplie d'outils TIC, catégorisés pour une meilleure compréhension, offre un soutien considérable aux activités universitaires et de recherche, permettant aux utilisateurs de naviguer avec efficacité dans l'ère numérique et de maximiser l'impact de leurs travaux.</w:t>
      </w:r>
    </w:p>
    <w:p w:rsidR="00A34FF5" w:rsidRDefault="00A34FF5" w:rsidP="00A34FF5">
      <w:pPr>
        <w:pStyle w:val="NormalWeb"/>
        <w:jc w:val="both"/>
        <w:rPr>
          <w:b/>
          <w:bCs/>
        </w:rPr>
      </w:pPr>
      <w:r w:rsidRPr="00A34FF5">
        <w:rPr>
          <w:b/>
          <w:bCs/>
        </w:rPr>
        <w:t>Application</w:t>
      </w:r>
      <w:r>
        <w:rPr>
          <w:b/>
          <w:bCs/>
        </w:rPr>
        <w:t> :</w:t>
      </w:r>
    </w:p>
    <w:p w:rsidR="00A34FF5" w:rsidRPr="00A34FF5" w:rsidRDefault="00A34FF5" w:rsidP="00A34FF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Exercice 1 : </w:t>
      </w:r>
      <w:bookmarkStart w:id="0" w:name="_GoBack"/>
      <w:bookmarkEnd w:id="0"/>
      <w:r w:rsidRPr="00A34FF5">
        <w:rPr>
          <w:rFonts w:ascii="Times New Roman" w:eastAsia="Times New Roman" w:hAnsi="Times New Roman" w:cs="Times New Roman"/>
          <w:sz w:val="24"/>
          <w:szCs w:val="24"/>
          <w:lang w:eastAsia="fr-FR"/>
        </w:rPr>
        <w:t>Relisez attentivement le passage et listez tous les outils TIC mentionnés. Ensuite, classez ces outils dans les cinq catégories principales identifiées dans le texte (Outils de recherche documentaire, Outils de traitement de texte, Outils de référencement et de citation, Outils de diffusion et de présentation de recherche, Outils de conversion et de supports).</w:t>
      </w:r>
    </w:p>
    <w:p w:rsidR="00A34FF5" w:rsidRPr="00A34FF5" w:rsidRDefault="00A34FF5" w:rsidP="00A34FF5">
      <w:pPr>
        <w:spacing w:before="100" w:beforeAutospacing="1" w:after="100" w:afterAutospacing="1" w:line="240" w:lineRule="auto"/>
        <w:rPr>
          <w:rFonts w:ascii="Times New Roman" w:eastAsia="Times New Roman" w:hAnsi="Times New Roman" w:cs="Times New Roman"/>
          <w:sz w:val="24"/>
          <w:szCs w:val="24"/>
          <w:lang w:eastAsia="fr-FR"/>
        </w:rPr>
      </w:pPr>
      <w:r w:rsidRPr="00A34FF5">
        <w:rPr>
          <w:rFonts w:ascii="Times New Roman" w:eastAsia="Times New Roman" w:hAnsi="Times New Roman" w:cs="Times New Roman"/>
          <w:b/>
          <w:bCs/>
          <w:sz w:val="24"/>
          <w:szCs w:val="24"/>
          <w:lang w:eastAsia="fr-FR"/>
        </w:rPr>
        <w:t>Exercice 2 : Description et Fonctionnalité</w:t>
      </w:r>
    </w:p>
    <w:p w:rsidR="00A34FF5" w:rsidRPr="00A34FF5" w:rsidRDefault="00A34FF5" w:rsidP="00A34FF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A34FF5">
        <w:rPr>
          <w:rFonts w:ascii="Times New Roman" w:eastAsia="Times New Roman" w:hAnsi="Times New Roman" w:cs="Times New Roman"/>
          <w:b/>
          <w:bCs/>
          <w:sz w:val="24"/>
          <w:szCs w:val="24"/>
          <w:lang w:eastAsia="fr-FR"/>
        </w:rPr>
        <w:t>Instruction :</w:t>
      </w:r>
      <w:r w:rsidRPr="00A34FF5">
        <w:rPr>
          <w:rFonts w:ascii="Times New Roman" w:eastAsia="Times New Roman" w:hAnsi="Times New Roman" w:cs="Times New Roman"/>
          <w:sz w:val="24"/>
          <w:szCs w:val="24"/>
          <w:lang w:eastAsia="fr-FR"/>
        </w:rPr>
        <w:t xml:space="preserve"> Choisissez trois outils TIC différents parmi ceux mentionnés dans le passage (un par catégorie si possible). Pour chacun de ces outils, rédigez une brève description de sa fonction principale et expliquez en quoi il est utile dans le contexte académique ou de la recherche.</w:t>
      </w:r>
    </w:p>
    <w:p w:rsidR="00A34FF5" w:rsidRPr="00A34FF5" w:rsidRDefault="00A34FF5" w:rsidP="00A34FF5">
      <w:pPr>
        <w:pStyle w:val="NormalWeb"/>
        <w:jc w:val="both"/>
        <w:rPr>
          <w:b/>
          <w:bCs/>
        </w:rPr>
      </w:pPr>
    </w:p>
    <w:p w:rsidR="00A34FF5" w:rsidRDefault="00A34FF5"/>
    <w:sectPr w:rsidR="00A34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9AE"/>
    <w:multiLevelType w:val="multilevel"/>
    <w:tmpl w:val="303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A445F"/>
    <w:multiLevelType w:val="multilevel"/>
    <w:tmpl w:val="694AD694"/>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CD362A2"/>
    <w:multiLevelType w:val="multilevel"/>
    <w:tmpl w:val="7B2E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D538B"/>
    <w:multiLevelType w:val="multilevel"/>
    <w:tmpl w:val="9FB8EE3C"/>
    <w:lvl w:ilvl="0">
      <w:start w:val="1"/>
      <w:numFmt w:val="decimal"/>
      <w:pStyle w:val="Titre1"/>
      <w:lvlText w:val="%1."/>
      <w:lvlJc w:val="left"/>
      <w:pPr>
        <w:ind w:left="360" w:hanging="360"/>
      </w:pPr>
    </w:lvl>
    <w:lvl w:ilvl="1">
      <w:start w:val="1"/>
      <w:numFmt w:val="decimal"/>
      <w:lvlText w:val="%1.%2"/>
      <w:lvlJc w:val="left"/>
      <w:pPr>
        <w:ind w:left="576" w:hanging="576"/>
      </w:pPr>
      <w:rPr>
        <w:i w:val="0"/>
        <w:iCs w:val="0"/>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F5"/>
    <w:rsid w:val="001C1216"/>
    <w:rsid w:val="00411825"/>
    <w:rsid w:val="00A34FF5"/>
    <w:rsid w:val="00C47F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7FB66-1D47-4798-8850-41F37CD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11825"/>
    <w:pPr>
      <w:numPr>
        <w:numId w:val="4"/>
      </w:numPr>
      <w:spacing w:before="100" w:beforeAutospacing="1" w:after="100" w:afterAutospacing="1" w:line="240" w:lineRule="auto"/>
      <w:jc w:val="both"/>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411825"/>
    <w:pPr>
      <w:keepNext/>
      <w:numPr>
        <w:ilvl w:val="1"/>
        <w:numId w:val="5"/>
      </w:numPr>
      <w:spacing w:before="240" w:after="60"/>
      <w:ind w:left="576" w:hanging="576"/>
      <w:outlineLvl w:val="1"/>
    </w:pPr>
    <w:rPr>
      <w:rFonts w:asciiTheme="majorBidi" w:eastAsia="Times New Roman" w:hAnsiTheme="majorBidi" w:cs="Times New Roman"/>
      <w:b/>
      <w:bCs/>
      <w:iCs/>
      <w:sz w:val="28"/>
      <w:szCs w:val="28"/>
    </w:rPr>
  </w:style>
  <w:style w:type="paragraph" w:styleId="Titre3">
    <w:name w:val="heading 3"/>
    <w:basedOn w:val="Normal"/>
    <w:next w:val="Normal"/>
    <w:link w:val="Titre3Car"/>
    <w:uiPriority w:val="9"/>
    <w:unhideWhenUsed/>
    <w:qFormat/>
    <w:rsid w:val="00411825"/>
    <w:pPr>
      <w:keepNext/>
      <w:numPr>
        <w:ilvl w:val="2"/>
        <w:numId w:val="4"/>
      </w:numPr>
      <w:spacing w:before="240" w:after="60"/>
      <w:outlineLvl w:val="2"/>
    </w:pPr>
    <w:rPr>
      <w:rFonts w:asciiTheme="majorBidi" w:eastAsia="Times New Roman" w:hAnsiTheme="majorBid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47F6B"/>
    <w:rPr>
      <w:rFonts w:ascii="Times New Roman" w:eastAsia="Times New Roman" w:hAnsi="Times New Roman" w:cs="Times New Roman"/>
      <w:b/>
      <w:bCs/>
      <w:kern w:val="36"/>
      <w:sz w:val="48"/>
      <w:szCs w:val="48"/>
    </w:rPr>
  </w:style>
  <w:style w:type="character" w:customStyle="1" w:styleId="Titre2Car">
    <w:name w:val="Titre 2 Car"/>
    <w:link w:val="Titre2"/>
    <w:uiPriority w:val="9"/>
    <w:rsid w:val="00411825"/>
    <w:rPr>
      <w:rFonts w:asciiTheme="majorBidi" w:eastAsia="Times New Roman" w:hAnsiTheme="majorBidi" w:cs="Times New Roman"/>
      <w:b/>
      <w:bCs/>
      <w:iCs/>
      <w:sz w:val="28"/>
      <w:szCs w:val="28"/>
    </w:rPr>
  </w:style>
  <w:style w:type="character" w:customStyle="1" w:styleId="Titre3Car">
    <w:name w:val="Titre 3 Car"/>
    <w:link w:val="Titre3"/>
    <w:uiPriority w:val="9"/>
    <w:rsid w:val="00411825"/>
    <w:rPr>
      <w:rFonts w:asciiTheme="majorBidi" w:eastAsia="Times New Roman" w:hAnsiTheme="majorBidi" w:cs="Times New Roman"/>
      <w:b/>
      <w:bCs/>
      <w:sz w:val="26"/>
      <w:szCs w:val="26"/>
    </w:rPr>
  </w:style>
  <w:style w:type="paragraph" w:styleId="Titre">
    <w:name w:val="Title"/>
    <w:basedOn w:val="Normal"/>
    <w:next w:val="Normal"/>
    <w:link w:val="TitreCar"/>
    <w:uiPriority w:val="10"/>
    <w:qFormat/>
    <w:rsid w:val="00411825"/>
    <w:pPr>
      <w:spacing w:before="240" w:after="60"/>
      <w:jc w:val="center"/>
      <w:outlineLvl w:val="0"/>
    </w:pPr>
    <w:rPr>
      <w:rFonts w:asciiTheme="majorBidi" w:eastAsiaTheme="majorEastAsia" w:hAnsiTheme="majorBidi" w:cstheme="majorBidi"/>
      <w:b/>
      <w:bCs/>
      <w:kern w:val="28"/>
      <w:sz w:val="32"/>
      <w:szCs w:val="32"/>
    </w:rPr>
  </w:style>
  <w:style w:type="character" w:customStyle="1" w:styleId="TitreCar">
    <w:name w:val="Titre Car"/>
    <w:basedOn w:val="Policepardfaut"/>
    <w:link w:val="Titre"/>
    <w:uiPriority w:val="10"/>
    <w:rsid w:val="00411825"/>
    <w:rPr>
      <w:rFonts w:asciiTheme="majorBidi" w:eastAsiaTheme="majorEastAsia" w:hAnsiTheme="majorBidi" w:cstheme="majorBidi"/>
      <w:b/>
      <w:bCs/>
      <w:kern w:val="28"/>
      <w:sz w:val="32"/>
      <w:szCs w:val="32"/>
    </w:rPr>
  </w:style>
  <w:style w:type="paragraph" w:styleId="NormalWeb">
    <w:name w:val="Normal (Web)"/>
    <w:basedOn w:val="Normal"/>
    <w:uiPriority w:val="99"/>
    <w:semiHidden/>
    <w:unhideWhenUsed/>
    <w:rsid w:val="00A34F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4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30629">
      <w:bodyDiv w:val="1"/>
      <w:marLeft w:val="0"/>
      <w:marRight w:val="0"/>
      <w:marTop w:val="0"/>
      <w:marBottom w:val="0"/>
      <w:divBdr>
        <w:top w:val="none" w:sz="0" w:space="0" w:color="auto"/>
        <w:left w:val="none" w:sz="0" w:space="0" w:color="auto"/>
        <w:bottom w:val="none" w:sz="0" w:space="0" w:color="auto"/>
        <w:right w:val="none" w:sz="0" w:space="0" w:color="auto"/>
      </w:divBdr>
    </w:div>
    <w:div w:id="16723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CorteC</dc:creator>
  <cp:keywords/>
  <dc:description/>
  <cp:lastModifiedBy>CorteC</cp:lastModifiedBy>
  <cp:revision>1</cp:revision>
  <dcterms:created xsi:type="dcterms:W3CDTF">2025-04-11T17:48:00Z</dcterms:created>
  <dcterms:modified xsi:type="dcterms:W3CDTF">2025-04-11T17:53:00Z</dcterms:modified>
</cp:coreProperties>
</file>