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line="240" w:lineRule="auto"/>
        <w:rPr>
          <w:rFonts w:ascii="Times New Roman" w:cs="Times New Roman" w:eastAsia="Times New Roman" w:hAnsi="Times New Roman"/>
        </w:rPr>
      </w:pPr>
      <w:r w:rsidDel="00000000" w:rsidR="00000000" w:rsidRPr="00000000">
        <w:rPr>
          <w:rtl w:val="0"/>
        </w:rPr>
      </w:r>
    </w:p>
    <w:tbl>
      <w:tblPr>
        <w:tblStyle w:val="Table1"/>
        <w:tblpPr w:leftFromText="141" w:rightFromText="141" w:topFromText="0" w:bottomFromText="0" w:vertAnchor="page" w:horzAnchor="margin" w:tblpX="0" w:tblpY="0"/>
        <w:tblW w:w="101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225"/>
        <w:gridCol w:w="240"/>
        <w:gridCol w:w="3675"/>
        <w:tblGridChange w:id="0">
          <w:tblGrid>
            <w:gridCol w:w="6225"/>
            <w:gridCol w:w="240"/>
            <w:gridCol w:w="3675"/>
          </w:tblGrid>
        </w:tblGridChange>
      </w:tblGrid>
      <w:tr>
        <w:trPr>
          <w:cantSplit w:val="0"/>
          <w:trHeight w:val="258" w:hRule="atLeast"/>
          <w:tblHeader w:val="0"/>
        </w:trPr>
        <w:tc>
          <w:tcPr>
            <w:tcBorders>
              <w:top w:color="000000" w:space="0" w:sz="0" w:val="nil"/>
              <w:left w:color="000000" w:space="0" w:sz="0" w:val="nil"/>
              <w:bottom w:color="000000" w:space="0" w:sz="4" w:val="single"/>
              <w:right w:color="000000" w:space="0" w:sz="0" w:val="nil"/>
            </w:tcBorders>
            <w:tcMar>
              <w:top w:w="0.0" w:type="dxa"/>
              <w:left w:w="100.0" w:type="dxa"/>
              <w:bottom w:w="0.0" w:type="dxa"/>
              <w:right w:w="100.0" w:type="dxa"/>
            </w:tcMar>
          </w:tcPr>
          <w:p w:rsidR="00000000" w:rsidDel="00000000" w:rsidP="00000000" w:rsidRDefault="00000000" w:rsidRPr="00000000" w14:paraId="00000002">
            <w:pPr>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Université Mohamed Khider – Biskra</w:t>
            </w:r>
          </w:p>
          <w:p w:rsidR="00000000" w:rsidDel="00000000" w:rsidP="00000000" w:rsidRDefault="00000000" w:rsidRPr="00000000" w14:paraId="00000003">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Faculté des Lettres et des Langues</w:t>
            </w:r>
          </w:p>
          <w:p w:rsidR="00000000" w:rsidDel="00000000" w:rsidP="00000000" w:rsidRDefault="00000000" w:rsidRPr="00000000" w14:paraId="00000004">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Département de Français</w:t>
            </w:r>
          </w:p>
          <w:p w:rsidR="00000000" w:rsidDel="00000000" w:rsidP="00000000" w:rsidRDefault="00000000" w:rsidRPr="00000000" w14:paraId="00000005">
            <w:pPr>
              <w:spacing w:line="240" w:lineRule="auto"/>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sz w:val="18"/>
                <w:szCs w:val="18"/>
                <w:rtl w:val="0"/>
              </w:rPr>
              <w:t xml:space="preserve">Enseignante : </w:t>
            </w:r>
            <w:r w:rsidDel="00000000" w:rsidR="00000000" w:rsidRPr="00000000">
              <w:rPr>
                <w:rFonts w:ascii="Times New Roman" w:cs="Times New Roman" w:eastAsia="Times New Roman" w:hAnsi="Times New Roman"/>
                <w:b w:val="1"/>
                <w:sz w:val="18"/>
                <w:szCs w:val="18"/>
                <w:rtl w:val="0"/>
              </w:rPr>
              <w:t xml:space="preserve">Dre. Haddad M.</w:t>
            </w:r>
          </w:p>
          <w:p w:rsidR="00000000" w:rsidDel="00000000" w:rsidP="00000000" w:rsidRDefault="00000000" w:rsidRPr="00000000" w14:paraId="00000006">
            <w:pPr>
              <w:spacing w:line="24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TD 1 : TIC : quelques précisions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7">
            <w:pPr>
              <w:spacing w:line="240" w:lineRule="auto"/>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tcPr>
          <w:p w:rsidR="00000000" w:rsidDel="00000000" w:rsidP="00000000" w:rsidRDefault="00000000" w:rsidRPr="00000000" w14:paraId="00000008">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u w:val="single"/>
                <w:rtl w:val="0"/>
              </w:rPr>
              <w:t xml:space="preserve">Module :</w:t>
            </w:r>
            <w:r w:rsidDel="00000000" w:rsidR="00000000" w:rsidRPr="00000000">
              <w:rPr>
                <w:rFonts w:ascii="Times New Roman" w:cs="Times New Roman" w:eastAsia="Times New Roman" w:hAnsi="Times New Roman"/>
                <w:sz w:val="18"/>
                <w:szCs w:val="18"/>
                <w:rtl w:val="0"/>
              </w:rPr>
              <w:t xml:space="preserve"> Techniques d’information et de communication</w:t>
            </w:r>
          </w:p>
          <w:p w:rsidR="00000000" w:rsidDel="00000000" w:rsidP="00000000" w:rsidRDefault="00000000" w:rsidRPr="00000000" w14:paraId="00000009">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u w:val="single"/>
                <w:rtl w:val="0"/>
              </w:rPr>
              <w:t xml:space="preserve">Niveau :</w:t>
            </w:r>
            <w:r w:rsidDel="00000000" w:rsidR="00000000" w:rsidRPr="00000000">
              <w:rPr>
                <w:rFonts w:ascii="Times New Roman" w:cs="Times New Roman" w:eastAsia="Times New Roman" w:hAnsi="Times New Roman"/>
                <w:sz w:val="18"/>
                <w:szCs w:val="18"/>
                <w:rtl w:val="0"/>
              </w:rPr>
              <w:t xml:space="preserve"> L3</w:t>
            </w:r>
          </w:p>
          <w:p w:rsidR="00000000" w:rsidDel="00000000" w:rsidP="00000000" w:rsidRDefault="00000000" w:rsidRPr="00000000" w14:paraId="0000000A">
            <w:pPr>
              <w:spacing w:line="240" w:lineRule="auto"/>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u w:val="single"/>
                <w:rtl w:val="0"/>
              </w:rPr>
              <w:t xml:space="preserve">Année :</w:t>
            </w:r>
            <w:r w:rsidDel="00000000" w:rsidR="00000000" w:rsidRPr="00000000">
              <w:rPr>
                <w:rFonts w:ascii="Times New Roman" w:cs="Times New Roman" w:eastAsia="Times New Roman" w:hAnsi="Times New Roman"/>
                <w:sz w:val="18"/>
                <w:szCs w:val="18"/>
                <w:rtl w:val="0"/>
              </w:rPr>
              <w:t xml:space="preserve"> 2024-2025</w:t>
            </w:r>
          </w:p>
          <w:p w:rsidR="00000000" w:rsidDel="00000000" w:rsidP="00000000" w:rsidRDefault="00000000" w:rsidRPr="00000000" w14:paraId="0000000B">
            <w:pPr>
              <w:spacing w:line="240" w:lineRule="auto"/>
              <w:rPr>
                <w:rFonts w:ascii="Times New Roman" w:cs="Times New Roman" w:eastAsia="Times New Roman" w:hAnsi="Times New Roman"/>
                <w:sz w:val="18"/>
                <w:szCs w:val="18"/>
              </w:rPr>
            </w:pPr>
            <w:r w:rsidDel="00000000" w:rsidR="00000000" w:rsidRPr="00000000">
              <w:rPr>
                <w:rtl w:val="0"/>
              </w:rPr>
            </w:r>
          </w:p>
          <w:p w:rsidR="00000000" w:rsidDel="00000000" w:rsidP="00000000" w:rsidRDefault="00000000" w:rsidRPr="00000000" w14:paraId="0000000C">
            <w:pPr>
              <w:spacing w:line="240" w:lineRule="auto"/>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0D">
      <w:pPr>
        <w:widowControl w:val="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Définir les technologies d'information et de communication, dorénavant TIC, n'est pas une tâche aisée. Cette difficulté est mentionnée par Dieuzeide (1986) qui précise que la confusion terminologique augmente lorsque le terme technologies, purement technique, est</w:t>
      </w:r>
    </w:p>
    <w:p w:rsidR="00000000" w:rsidDel="00000000" w:rsidP="00000000" w:rsidRDefault="00000000" w:rsidRPr="00000000" w14:paraId="0000000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intégré en éducation. Dans ce contexte, nous soulignons que Rézeau (2001) distingue la technologie de l’éducation, dont l’objectif est l’efficacité de l’enseignement, de la technologie</w:t>
      </w:r>
    </w:p>
    <w:p w:rsidR="00000000" w:rsidDel="00000000" w:rsidP="00000000" w:rsidRDefault="00000000" w:rsidRPr="00000000" w14:paraId="0000001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éducation, qui insiste sur l’emploi des outils technologiques en classe. Il est clair qu’un lien entre les deux notions pourrait être établi dans la mesure où la seconde acception contribue à la première.</w:t>
      </w:r>
    </w:p>
    <w:p w:rsidR="00000000" w:rsidDel="00000000" w:rsidP="00000000" w:rsidRDefault="00000000" w:rsidRPr="00000000" w14:paraId="0000001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Définitions</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Avant d’entamer les définitions des TIC du point de vue didactique, nous reprenons</w:t>
      </w:r>
    </w:p>
    <w:p w:rsidR="00000000" w:rsidDel="00000000" w:rsidP="00000000" w:rsidRDefault="00000000" w:rsidRPr="00000000" w14:paraId="00000013">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infra la définition que propose Basque (2006). L’auteure avance : "Les technologies de l’information et de la communication renvoient à un ensemble de technologies fondées sur l’informatique, la microélectronique, les télécommunications (notamment les réseaux), le multimédia et l’audiovisuel, qui, lorsqu’elles sont combinées et interconnectées, permettent de rechercher, de stocker, de traiter et de transmettre des informations, sous forme de données de divers types (texte, son, images fixes, images vidéo, etc.), et permettent l’interactivité entre des personnes, et entre des personnes et des machines" (Basque, 2006: 05).</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Cette définition, qui énumère certains outils technologiques et met en valeur l’interactivité qu’ils permettent, rejoint celle que propose Triepke, qui s’inscrit dans une perspective didactique. Par TIC, il désigne :</w:t>
      </w:r>
    </w:p>
    <w:p w:rsidR="00000000" w:rsidDel="00000000" w:rsidP="00000000" w:rsidRDefault="00000000" w:rsidRPr="00000000" w14:paraId="00000015">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"L’ensemble des outils et logiciels informatiques et multimédia (textes et images fixes</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 animés, sons, vidéos, DVD, disque dur, lecteur MP3/MP4, Internet...) qui peuvent être</w:t>
      </w:r>
    </w:p>
    <w:p w:rsidR="00000000" w:rsidDel="00000000" w:rsidP="00000000" w:rsidRDefault="00000000" w:rsidRPr="00000000" w14:paraId="0000001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intégrés dans un dispositif d’enseignement partiellement ou complètement à distance ou plus simplement dans un cours en salle de cours. La caractéristique commune de ces médias est leur utilisation combinée avec l’ordinateur" (2009: 04). Cette citation, qui liste les outils informatiques qui, connectés à un ordinateur, permettent de diffuser les enseignements proposés ou (TIC), insiste sur une caractéristique de l'enseignement à travers les TIC : l’effacement de la contrainte spatiale. Contrairement aux premières citations qui ont pointé les divers outils technologiques, Karsenti et Larose (2002), repris par Mawete (2010) dans son essai "L’intégration des TIC au Congo : réalisations, défis et perspectives", définissent ces technologies à travers leur fonction transmissive. Les TIC sont alors des "technologies, qui une fois combinés, peuvent permettre non seulement le traitement de l’information, mais aussi la transmission de celle-ci pour des fins d’apprentissage et de développement éducatif" (Mawete, 2010: 49). Dans cette citation, les auteurs insistent sur la transmission des informations, ou leur communication, à des fins pédagogiques. En effet, les technologies permettent de traiter, de partager, de modifier et de stocker les informations collectées de diverses sources et de les communiquer aux publics visés. Dans le domaine pédagogique, ces informations sont communiquées aux apprenants afin de développer chez eux des compétences ciblées. Mentionnons que le lien étroit établi entre les deux notions (information et communication) est justifié par différents auteurs qui estiment que les informations sont des données communiquées ou communicables: sans communication, les informations n’ont pas d’existence (Meyriat, 1983).</w:t>
      </w:r>
    </w:p>
    <w:p w:rsidR="00000000" w:rsidDel="00000000" w:rsidP="00000000" w:rsidRDefault="00000000" w:rsidRPr="00000000" w14:paraId="0000001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Exploitation pédagogique des TIC</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Plusieurs études se sont intéressées à l’intégration de l’ordinateur et des outils informatiques à des fins pédagogiques. Dans ce contexte, Chevalier (2006) dans l'ouvrage collectif "Réforme de l'éducation et innovation pédagogique en Algérie" aborde deux courants: Le premier correspond à l’Enseignement Assisté par Ordinateur, abrégé en EAO, où l’ordinateur était conçu comme un substitut à l’enseignant. Quant au second courant constructiviste, l’ordinateur y est considéré comme un moyen qui crée un environnement propice à l’apprentissage. </w:t>
      </w:r>
    </w:p>
    <w:p w:rsidR="00000000" w:rsidDel="00000000" w:rsidP="00000000" w:rsidRDefault="00000000" w:rsidRPr="00000000" w14:paraId="0000001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somme, les TIC se sont frayées une place importante dans l’univers éducatif et pédagogique au point de détrôner certaines pédagogies classiques devenues inadaptées aux besoins des apprenants et aux situations authentiques de la vie. </w:t>
      </w:r>
    </w:p>
    <w:p w:rsidR="00000000" w:rsidDel="00000000" w:rsidP="00000000" w:rsidRDefault="00000000" w:rsidRPr="00000000" w14:paraId="0000001B">
      <w:pPr>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Bibliographie</w:t>
      </w:r>
    </w:p>
    <w:p w:rsidR="00000000" w:rsidDel="00000000" w:rsidP="00000000" w:rsidRDefault="00000000" w:rsidRPr="00000000" w14:paraId="0000001C">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 Basque, J. (2006). Une réflexion sur les fonctions attribuées aux TIC en enseignement universitaire. Revue Internationale des Technologies en Pédagogie Universitaire, 2 (1), 30-41. </w:t>
      </w:r>
    </w:p>
    <w:p w:rsidR="00000000" w:rsidDel="00000000" w:rsidP="00000000" w:rsidRDefault="00000000" w:rsidRPr="00000000" w14:paraId="0000001D">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Brahami, M. A. (2014-2015). Les TIC dans l'éducation en Algérie. Thèse de doctorat en sciences commerciales, Université d'Oran. </w:t>
      </w:r>
    </w:p>
    <w:p w:rsidR="00000000" w:rsidDel="00000000" w:rsidP="00000000" w:rsidRDefault="00000000" w:rsidRPr="00000000" w14:paraId="0000001E">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Chevalier, P. (2006). "Les TIC au service de la réforme". Dans Réforme de l'éducation et innovation pédagogique en Algérie (125-170), UNESCO-ONPS. </w:t>
      </w:r>
    </w:p>
    <w:p w:rsidR="00000000" w:rsidDel="00000000" w:rsidP="00000000" w:rsidRDefault="00000000" w:rsidRPr="00000000" w14:paraId="0000001F">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Dieuzeide, H. (1986). Réinventer la technologie de l'éducation. Revue Internationale de Pédagogie, Institut de l'UNESCO pour l'éducation. </w:t>
      </w:r>
    </w:p>
    <w:p w:rsidR="00000000" w:rsidDel="00000000" w:rsidP="00000000" w:rsidRDefault="00000000" w:rsidRPr="00000000" w14:paraId="00000020">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Mawete, S. (2010). L'intégration pédagogique des TIC au Congo: réalisations, défis et perspectives. Publibook. </w:t>
      </w:r>
    </w:p>
    <w:p w:rsidR="00000000" w:rsidDel="00000000" w:rsidP="00000000" w:rsidRDefault="00000000" w:rsidRPr="00000000" w14:paraId="00000021">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Meyriat, J. (1983). Pour une classification des sciences de la communication. Schéma et Schématisation, N9, 61-64. </w:t>
      </w:r>
    </w:p>
    <w:p w:rsidR="00000000" w:rsidDel="00000000" w:rsidP="00000000" w:rsidRDefault="00000000" w:rsidRPr="00000000" w14:paraId="00000022">
      <w:pPr>
        <w:jc w:val="both"/>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sz w:val="18"/>
          <w:szCs w:val="18"/>
          <w:rtl w:val="0"/>
        </w:rPr>
        <w:t xml:space="preserve">Laidoudi A. (2021). compréhension et expression orale. polycopié destiné aux étudiants de M1 </w:t>
      </w:r>
    </w:p>
    <w:p w:rsidR="00000000" w:rsidDel="00000000" w:rsidP="00000000" w:rsidRDefault="00000000" w:rsidRPr="00000000" w14:paraId="00000023">
      <w:pPr>
        <w:rPr>
          <w:rFonts w:ascii="Times New Roman" w:cs="Times New Roman" w:eastAsia="Times New Roman" w:hAnsi="Times New Roman"/>
          <w:b w:val="1"/>
          <w:color w:val="000000"/>
          <w:sz w:val="26"/>
          <w:szCs w:val="26"/>
        </w:rPr>
      </w:pPr>
      <w:r w:rsidDel="00000000" w:rsidR="00000000" w:rsidRPr="00000000">
        <w:rPr>
          <w:rFonts w:ascii="Times New Roman" w:cs="Times New Roman" w:eastAsia="Times New Roman" w:hAnsi="Times New Roman"/>
          <w:b w:val="1"/>
          <w:rtl w:val="0"/>
        </w:rPr>
        <w:t xml:space="preserve">Application : </w:t>
      </w:r>
      <w:r w:rsidDel="00000000" w:rsidR="00000000" w:rsidRPr="00000000">
        <w:rPr>
          <w:rtl w:val="0"/>
        </w:rPr>
      </w:r>
    </w:p>
    <w:p w:rsidR="00000000" w:rsidDel="00000000" w:rsidP="00000000" w:rsidRDefault="00000000" w:rsidRPr="00000000" w14:paraId="0000002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1 : Selon Rézeau, quelle est la principale différence entre "technologie de l'éducation" et "technologie en éducation" ? a) La première vise l'efficacité de l'enseignement, tandis que la seconde met l'accent sur l'utilisation d'outils technologiques en classe. b) La première est plus ancienne que la seconde. c) La première est uniquement liée à l'enseignement à distance, tandis que la seconde concerne l'enseignement en présentiel. d) Il n'y a pas de différence significative entre les deux.</w:t>
      </w:r>
    </w:p>
    <w:p w:rsidR="00000000" w:rsidDel="00000000" w:rsidP="00000000" w:rsidRDefault="00000000" w:rsidRPr="00000000" w14:paraId="0000002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2</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 La définition de Basque (2006) sur les TIC met l'accent sur : a) L'utilisation exclusive de l'ordinateur. b) L'interactivité entre les personnes et les machines. c) La transmission uniquement de textes écrits. d) Le caractère statique des informations.</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3 : Quel est le principal avantage des TIC dans le domaine éducatif, selon le texte ? a) Remplacer complètement les enseignants. b) Standardiser les méthodes d'enseignement. c) Faciliter l'accès à l'information et favoriser l'interactivité. d) Réduire les coûts de l'éducation.</w:t>
      </w:r>
    </w:p>
    <w:p w:rsidR="00000000" w:rsidDel="00000000" w:rsidP="00000000" w:rsidRDefault="00000000" w:rsidRPr="00000000" w14:paraId="00000027">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4 : L'enseignement assisté par ordinateur (EAO) correspond à :</w:t>
      </w:r>
    </w:p>
    <w:p w:rsidR="00000000" w:rsidDel="00000000" w:rsidP="00000000" w:rsidRDefault="00000000" w:rsidRPr="00000000" w14:paraId="00000028">
      <w:pPr>
        <w:spacing w:after="240" w:before="24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Une approche pédagogique centrée sur l'apprenant et l'utilisation de logiciels éducatifs. b) Une méthode d'enseignement traditionnelle où l'ordinateur remplace entièrement l'enseignant. c) Une approche qui privilégie l'apprentissage par les pairs. d) Une méthode uniquement adaptée aux élèves ayant des difficultés d'apprentissage.</w:t>
      </w:r>
    </w:p>
    <w:p w:rsidR="00000000" w:rsidDel="00000000" w:rsidP="00000000" w:rsidRDefault="00000000" w:rsidRPr="00000000" w14:paraId="00000029">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Question 5 : Quelle est la principale caractéristique de la liaison entre les notions d'information et de communication dans le contexte des TIC ? </w:t>
      </w:r>
    </w:p>
    <w:p w:rsidR="00000000" w:rsidDel="00000000" w:rsidP="00000000" w:rsidRDefault="00000000" w:rsidRPr="00000000" w14:paraId="0000002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Les informations sont statiques et ne peuvent être modifiées. b) La communication est unidirectionnelle, de l'enseignant vers l'apprenant. c) Les informations sont partagées et échangées entre les utilisateurs. d) La communication est limitée aux textes écrits.</w:t>
      </w:r>
    </w:p>
    <w:p w:rsidR="00000000" w:rsidDel="00000000" w:rsidP="00000000" w:rsidRDefault="00000000" w:rsidRPr="00000000" w14:paraId="0000002B">
      <w:pPr>
        <w:spacing w:after="240" w:before="240" w:lineRule="auto"/>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Question 6 : Les TIC permettent de :</w:t>
      </w:r>
    </w:p>
    <w:p w:rsidR="00000000" w:rsidDel="00000000" w:rsidP="00000000" w:rsidRDefault="00000000" w:rsidRPr="00000000" w14:paraId="0000002C">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Seulement de diffuser des contenus préenregistrés. b) Créer des environnements d'apprentissage dynamiques et interactifs. c) Rendre l'enseignement plus ennuyeux. d) Limiter les interactions entre les apprenants.</w:t>
      </w:r>
    </w:p>
    <w:p w:rsidR="00000000" w:rsidDel="00000000" w:rsidP="00000000" w:rsidRDefault="00000000" w:rsidRPr="00000000" w14:paraId="0000002D">
      <w:pPr>
        <w:spacing w:after="240" w:befor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E">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Question 7 : </w:t>
      </w:r>
      <w:r w:rsidDel="00000000" w:rsidR="00000000" w:rsidRPr="00000000">
        <w:rPr>
          <w:rFonts w:ascii="Times New Roman" w:cs="Times New Roman" w:eastAsia="Times New Roman" w:hAnsi="Times New Roman"/>
          <w:rtl w:val="0"/>
        </w:rPr>
        <w:t xml:space="preserve">Le terme "TIC" englobe : </w:t>
      </w:r>
    </w:p>
    <w:p w:rsidR="00000000" w:rsidDel="00000000" w:rsidP="00000000" w:rsidRDefault="00000000" w:rsidRPr="00000000" w14:paraId="0000002F">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Uniquement les ordinateurs et les logiciels. b) Tous les outils numériques permettant de créer, stocker et transmettre de l'information. c) Seuls les outils de communication à distance. d) Les livres numériques uniquement.</w:t>
      </w:r>
    </w:p>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travaux de recherche (noté sur 8 pts)</w:t>
      </w:r>
    </w:p>
    <w:p w:rsidR="00000000" w:rsidDel="00000000" w:rsidP="00000000" w:rsidRDefault="00000000" w:rsidRPr="00000000" w14:paraId="00000031">
      <w:pPr>
        <w:widowControl w:val="0"/>
        <w:rPr/>
      </w:pPr>
      <w:r w:rsidDel="00000000" w:rsidR="00000000" w:rsidRPr="00000000">
        <w:rPr>
          <w:rtl w:val="0"/>
        </w:rPr>
      </w:r>
    </w:p>
    <w:p w:rsidR="00000000" w:rsidDel="00000000" w:rsidP="00000000" w:rsidRDefault="00000000" w:rsidRPr="00000000" w14:paraId="00000032">
      <w:pPr>
        <w:widowControl w:val="0"/>
        <w:rPr/>
      </w:pPr>
      <w:r w:rsidDel="00000000" w:rsidR="00000000" w:rsidRPr="00000000">
        <w:rPr>
          <w:rtl w:val="0"/>
        </w:rPr>
        <w:t xml:space="preserve">voici une liste d’outils TIC auxquels l’étudiant pourrait faire appel dans une recherche scientifique universitaire, choisissez un outil d’une seule catégorie puis présentez-le à vos camarades en suivant le plan ci-après : </w:t>
      </w:r>
    </w:p>
    <w:p w:rsidR="00000000" w:rsidDel="00000000" w:rsidP="00000000" w:rsidRDefault="00000000" w:rsidRPr="00000000" w14:paraId="00000033">
      <w:pPr>
        <w:widowControl w:val="0"/>
        <w:ind w:firstLine="720"/>
        <w:rPr/>
      </w:pPr>
      <w:r w:rsidDel="00000000" w:rsidR="00000000" w:rsidRPr="00000000">
        <w:rPr>
          <w:rtl w:val="0"/>
        </w:rPr>
        <w:t xml:space="preserve">-définition de l’outil TIC et du but de son utilisation</w:t>
      </w:r>
    </w:p>
    <w:p w:rsidR="00000000" w:rsidDel="00000000" w:rsidP="00000000" w:rsidRDefault="00000000" w:rsidRPr="00000000" w14:paraId="00000034">
      <w:pPr>
        <w:widowControl w:val="0"/>
        <w:ind w:firstLine="720"/>
        <w:rPr/>
      </w:pPr>
      <w:r w:rsidDel="00000000" w:rsidR="00000000" w:rsidRPr="00000000">
        <w:rPr>
          <w:rtl w:val="0"/>
        </w:rPr>
        <w:t xml:space="preserve">- conditions d’accès: site, téléchargement, gratuits, …</w:t>
      </w:r>
    </w:p>
    <w:p w:rsidR="00000000" w:rsidDel="00000000" w:rsidP="00000000" w:rsidRDefault="00000000" w:rsidRPr="00000000" w14:paraId="00000035">
      <w:pPr>
        <w:widowControl w:val="0"/>
        <w:ind w:firstLine="720"/>
        <w:rPr/>
      </w:pPr>
      <w:r w:rsidDel="00000000" w:rsidR="00000000" w:rsidRPr="00000000">
        <w:rPr>
          <w:rtl w:val="0"/>
        </w:rPr>
        <w:t xml:space="preserve">- Démonstration pratique sur son utilisation par l’étudiant.</w:t>
      </w:r>
    </w:p>
    <w:tbl>
      <w:tblPr>
        <w:tblStyle w:val="Table2"/>
        <w:tblW w:w="9360.0" w:type="dxa"/>
        <w:jc w:val="lef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6">
            <w:pPr>
              <w:widowControl w:val="0"/>
              <w:spacing w:after="120" w:before="120" w:line="275.9999942779541" w:lineRule="auto"/>
              <w:rPr>
                <w:rFonts w:ascii="Google Sans Text" w:cs="Google Sans Text" w:eastAsia="Google Sans Text" w:hAnsi="Google Sans Text"/>
                <w:b w:val="1"/>
                <w:color w:val="1b1c1d"/>
                <w:sz w:val="20"/>
                <w:szCs w:val="20"/>
              </w:rPr>
            </w:pPr>
            <w:r w:rsidDel="00000000" w:rsidR="00000000" w:rsidRPr="00000000">
              <w:rPr>
                <w:rFonts w:ascii="Google Sans Text" w:cs="Google Sans Text" w:eastAsia="Google Sans Text" w:hAnsi="Google Sans Text"/>
                <w:b w:val="1"/>
                <w:color w:val="1b1c1d"/>
                <w:sz w:val="20"/>
                <w:szCs w:val="20"/>
                <w:rtl w:val="0"/>
              </w:rPr>
              <w:t xml:space="preserve">Outils TIC</w:t>
            </w:r>
          </w:p>
        </w:tc>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7">
            <w:pPr>
              <w:widowControl w:val="0"/>
              <w:spacing w:after="120" w:before="120" w:line="275.9999942779541" w:lineRule="auto"/>
              <w:rPr>
                <w:rFonts w:ascii="Google Sans Text" w:cs="Google Sans Text" w:eastAsia="Google Sans Text" w:hAnsi="Google Sans Text"/>
                <w:b w:val="1"/>
                <w:color w:val="1b1c1d"/>
                <w:sz w:val="20"/>
                <w:szCs w:val="20"/>
              </w:rPr>
            </w:pPr>
            <w:r w:rsidDel="00000000" w:rsidR="00000000" w:rsidRPr="00000000">
              <w:rPr>
                <w:rFonts w:ascii="Google Sans Text" w:cs="Google Sans Text" w:eastAsia="Google Sans Text" w:hAnsi="Google Sans Text"/>
                <w:b w:val="1"/>
                <w:color w:val="1b1c1d"/>
                <w:sz w:val="20"/>
                <w:szCs w:val="20"/>
                <w:rtl w:val="0"/>
              </w:rPr>
              <w:t xml:space="preserve">Exemples</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8">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Outils de recherche documentaire</w:t>
            </w:r>
          </w:p>
        </w:tc>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9">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Google Scholar, Cairn.info, JSTOR, Persée, Isidore, bases de données universitaires (Web of Science, Scopus), catalogues de bibliothèques (Worldcat), Elicit, Consensus, ASJP</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A">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Outils de traitement de texte</w:t>
            </w:r>
          </w:p>
        </w:tc>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B">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Microsoft Word, LibreOffice Writer, Google Docs, ChatGPT, gemini, poe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C">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Outils de référencement et de citation</w:t>
            </w:r>
          </w:p>
        </w:tc>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D">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Zotero, Mendeley, EndNote, Citethisforme, scite</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E">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Outils de diffusion et de présentation de recherche</w:t>
            </w:r>
          </w:p>
        </w:tc>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3F">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PowerPoint, Google Slides, Prezi, Canva, Genially, plateformes de partage de documents (ResearchGate, Academia.edu), outils de création de posters scientifiques (PosterMyWall), Tome, Beautiful.ai</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40">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Outils de conversion et de supports</w:t>
            </w:r>
          </w:p>
        </w:tc>
        <w:tc>
          <w:tcPr>
            <w:tcBorders>
              <w:top w:color="000000" w:space="0" w:sz="6" w:val="single"/>
              <w:left w:color="000000" w:space="0" w:sz="6" w:val="single"/>
              <w:bottom w:color="000000" w:space="0" w:sz="6" w:val="single"/>
              <w:right w:color="000000" w:space="0" w:sz="6" w:val="single"/>
            </w:tcBorders>
            <w:shd w:fill="f0f4f9" w:val="clear"/>
            <w:tcMar>
              <w:top w:w="120.0" w:type="dxa"/>
              <w:left w:w="240.0" w:type="dxa"/>
              <w:bottom w:w="120.0" w:type="dxa"/>
              <w:right w:w="240.0" w:type="dxa"/>
            </w:tcMar>
            <w:vAlign w:val="top"/>
          </w:tcPr>
          <w:p w:rsidR="00000000" w:rsidDel="00000000" w:rsidP="00000000" w:rsidRDefault="00000000" w:rsidRPr="00000000" w14:paraId="00000041">
            <w:pPr>
              <w:widowControl w:val="0"/>
              <w:spacing w:line="275.9999942779541" w:lineRule="auto"/>
              <w:rPr>
                <w:rFonts w:ascii="Google Sans Text" w:cs="Google Sans Text" w:eastAsia="Google Sans Text" w:hAnsi="Google Sans Text"/>
                <w:color w:val="1b1c1d"/>
                <w:sz w:val="20"/>
                <w:szCs w:val="20"/>
              </w:rPr>
            </w:pPr>
            <w:r w:rsidDel="00000000" w:rsidR="00000000" w:rsidRPr="00000000">
              <w:rPr>
                <w:rFonts w:ascii="Google Sans Text" w:cs="Google Sans Text" w:eastAsia="Google Sans Text" w:hAnsi="Google Sans Text"/>
                <w:color w:val="1b1c1d"/>
                <w:sz w:val="20"/>
                <w:szCs w:val="20"/>
                <w:rtl w:val="0"/>
              </w:rPr>
              <w:t xml:space="preserve">Convertio, Zamzar, Adobe Acrobat, outils de capture d'écran (Snagit), outils de compression de fichiers (7-Zip)</w:t>
            </w:r>
          </w:p>
        </w:tc>
      </w:tr>
    </w:tbl>
    <w:p w:rsidR="00000000" w:rsidDel="00000000" w:rsidP="00000000" w:rsidRDefault="00000000" w:rsidRPr="00000000" w14:paraId="00000042">
      <w:pPr>
        <w:widowControl w:val="0"/>
        <w:rPr>
          <w:rFonts w:ascii="Times New Roman" w:cs="Times New Roman" w:eastAsia="Times New Roman" w:hAnsi="Times New Roman"/>
          <w:b w:val="1"/>
        </w:rPr>
      </w:pPr>
      <w:r w:rsidDel="00000000" w:rsidR="00000000" w:rsidRPr="00000000">
        <w:rPr>
          <w:rtl w:val="0"/>
        </w:rPr>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