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outlineLvl w:val="2"/>
        <w:rPr>
          <w:rFonts w:ascii="Times New Roman"/>
          <w:b/>
          <w:bCs/>
          <w:color w:val="548DD4" w:themeColor="text2" w:themeTint="99"/>
          <w:sz w:val="36"/>
          <w:szCs w:val="36"/>
        </w:rPr>
      </w:pPr>
      <w:r w:rsidRPr="00F974DB">
        <w:rPr>
          <w:rFonts w:ascii="Times New Roman"/>
          <w:b/>
          <w:bCs/>
          <w:i/>
          <w:iCs/>
          <w:color w:val="548DD4" w:themeColor="text2" w:themeTint="99"/>
          <w:sz w:val="36"/>
          <w:szCs w:val="36"/>
        </w:rPr>
        <w:t>Haemophilus influenzae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i/>
          <w:iCs/>
          <w:sz w:val="24"/>
          <w:szCs w:val="24"/>
        </w:rPr>
        <w:t>Haemophilus influenzae</w:t>
      </w:r>
      <w:r w:rsidRPr="00F974DB">
        <w:rPr>
          <w:rFonts w:ascii="Times New Roman"/>
          <w:sz w:val="24"/>
          <w:szCs w:val="24"/>
        </w:rPr>
        <w:t xml:space="preserve"> est une bactérie gram-négative appartenant à la famille des Pasteurellaceae. Elle est caractérisée par sa petite taille et sa forme bacillaire. Immobile et aérobie facultative, elle nécessite des conditions particulières pour sa culture, notamment la présence des facteurs X (hémine) et V (NAD), disponibles dans le sang. Cette bactérie peut exister sous deux formes : encapsulée et non encapsulée, la capsule étant un élément déterminant de sa virulence.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8"/>
          <w:szCs w:val="28"/>
        </w:rPr>
      </w:pPr>
      <w:r w:rsidRPr="00F974DB">
        <w:rPr>
          <w:rFonts w:ascii="Times New Roman"/>
          <w:b/>
          <w:bCs/>
          <w:sz w:val="28"/>
          <w:szCs w:val="28"/>
        </w:rPr>
        <w:t>Classification et Types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Les souches encapsulées de </w:t>
      </w:r>
      <w:r w:rsidRPr="00F974DB">
        <w:rPr>
          <w:rFonts w:ascii="Times New Roman"/>
          <w:i/>
          <w:iCs/>
          <w:sz w:val="24"/>
          <w:szCs w:val="24"/>
        </w:rPr>
        <w:t>Haemophilus influenzae</w:t>
      </w:r>
      <w:r w:rsidRPr="00F974DB">
        <w:rPr>
          <w:rFonts w:ascii="Times New Roman"/>
          <w:sz w:val="24"/>
          <w:szCs w:val="24"/>
        </w:rPr>
        <w:t xml:space="preserve"> sont classées en six sérotypes, de a à f, selon la composition antigénique de leur capsule polysaccharidique. Parmi elles, le sérotype b (</w:t>
      </w:r>
      <w:r w:rsidRPr="00F974DB">
        <w:rPr>
          <w:rFonts w:ascii="Times New Roman"/>
          <w:i/>
          <w:iCs/>
          <w:sz w:val="24"/>
          <w:szCs w:val="24"/>
        </w:rPr>
        <w:t>Hib</w:t>
      </w:r>
      <w:r w:rsidRPr="00F974DB">
        <w:rPr>
          <w:rFonts w:ascii="Times New Roman"/>
          <w:sz w:val="24"/>
          <w:szCs w:val="24"/>
        </w:rPr>
        <w:t>) est le plus pathogène, impliqué dans des infections graves. Les souches non encapsulées, appelées non typables, colonisent souvent les voies respiratoires supérieures sans provoquer de symptômes. Cependant, dans certaines conditions, elles peuvent causer des infections opportunistes, notamment des otites, des sinusites et des bronchopneumopathies.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Modes de Transmission</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La transmission de </w:t>
      </w:r>
      <w:r w:rsidRPr="00F974DB">
        <w:rPr>
          <w:rFonts w:ascii="Times New Roman"/>
          <w:i/>
          <w:iCs/>
          <w:sz w:val="24"/>
          <w:szCs w:val="24"/>
        </w:rPr>
        <w:t>Haemophilus influenzae</w:t>
      </w:r>
      <w:r w:rsidRPr="00F974DB">
        <w:rPr>
          <w:rFonts w:ascii="Times New Roman"/>
          <w:sz w:val="24"/>
          <w:szCs w:val="24"/>
        </w:rPr>
        <w:t xml:space="preserve"> se fait principalement par voie aérienne, à travers les gouttelettes respiratoires émises lors de la toux ou des éternuements. Une fois inhalée, la bactérie peut coloniser le nasopharynx. Dans certaines situations, telles qu’un affaiblissement des défenses immunitaires, elle peut franchir les barrières épithéliales et provoquer des infections invasives, notamment des méningites et des septicémies.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Facteurs de Virulence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La capsule polysaccharidique, en particulier celle du sérotype b, joue un rôle clé dans la pathogénicité de </w:t>
      </w:r>
      <w:r w:rsidRPr="00F974DB">
        <w:rPr>
          <w:rFonts w:ascii="Times New Roman"/>
          <w:i/>
          <w:iCs/>
          <w:sz w:val="24"/>
          <w:szCs w:val="24"/>
        </w:rPr>
        <w:t>H. influenzae</w:t>
      </w:r>
      <w:r w:rsidRPr="00F974DB">
        <w:rPr>
          <w:rFonts w:ascii="Times New Roman"/>
          <w:sz w:val="24"/>
          <w:szCs w:val="24"/>
        </w:rPr>
        <w:t>. Elle confère à la bactérie une résistance à la phagocytose, lui permettant ainsi d’échapper au système immunitaire de l’hôte. Les souches non encapsulées, bien que moins virulentes, peuvent provoquer des infections localisées grâce à des mécanismes comme l’adhérence aux cellules épithéliales et la production de toxines.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Diagnostic</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Le diagnostic des infections à </w:t>
      </w:r>
      <w:r w:rsidRPr="00F974DB">
        <w:rPr>
          <w:rFonts w:ascii="Times New Roman"/>
          <w:i/>
          <w:iCs/>
          <w:sz w:val="24"/>
          <w:szCs w:val="24"/>
        </w:rPr>
        <w:t>Haemophilus influenzae</w:t>
      </w:r>
      <w:r w:rsidRPr="00F974DB">
        <w:rPr>
          <w:rFonts w:ascii="Times New Roman"/>
          <w:sz w:val="24"/>
          <w:szCs w:val="24"/>
        </w:rPr>
        <w:t xml:space="preserve"> repose sur l’analyse des prélèvements cliniques tels que le liquide céphalorachidien, le sang ou les sécrétions respiratoires. La culture est réalisée sur un milieu enrichi comme le milieu chocolat, qui fournit les facteurs X et V nécessaires à la croissance bactérienne. Des tests antigéniques permettent de détecter spécifiquement la capsule du sérotype b. Par ailleurs, la PCR constitue une méthode rapide et fiable pour identifier cette bactérie.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Traitement</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lastRenderedPageBreak/>
        <w:t xml:space="preserve">Le traitement des infections graves à </w:t>
      </w:r>
      <w:r w:rsidRPr="00F974DB">
        <w:rPr>
          <w:rFonts w:ascii="Times New Roman"/>
          <w:i/>
          <w:iCs/>
          <w:sz w:val="24"/>
          <w:szCs w:val="24"/>
        </w:rPr>
        <w:t>Haemophilus influenzae</w:t>
      </w:r>
      <w:r w:rsidRPr="00F974DB">
        <w:rPr>
          <w:rFonts w:ascii="Times New Roman"/>
          <w:sz w:val="24"/>
          <w:szCs w:val="24"/>
        </w:rPr>
        <w:t xml:space="preserve"> implique l’utilisation d’antibiotiques, notamment les céphalosporines de troisième génération. Cependant, certaines souches produisent une bêta-lactamase, rendant les pénicillines inefficaces. Dans ces cas, l’utilisation d’inhibiteurs de bêta-lactamase ou d’autres classes d’antibiotiques est nécessaire. Une prophylaxie post-exposition à base de rifampicine peut être mise en place pour les contacts proches des patients atteints d’infections invasives.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Prévention</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La vaccination contre le sérotype b constitue le principal moyen de prévention des infections graves à </w:t>
      </w:r>
      <w:r w:rsidRPr="00F974DB">
        <w:rPr>
          <w:rFonts w:ascii="Times New Roman"/>
          <w:i/>
          <w:iCs/>
          <w:sz w:val="24"/>
          <w:szCs w:val="24"/>
        </w:rPr>
        <w:t>Haemophilus influenzae</w:t>
      </w:r>
      <w:r w:rsidRPr="00F974DB">
        <w:rPr>
          <w:rFonts w:ascii="Times New Roman"/>
          <w:sz w:val="24"/>
          <w:szCs w:val="24"/>
        </w:rPr>
        <w:t xml:space="preserve">. Le vaccin conjugué, introduit dans de nombreux calendriers vaccinaux, a permis une réduction significative des maladies invasives liées à </w:t>
      </w:r>
      <w:r w:rsidRPr="00F974DB">
        <w:rPr>
          <w:rFonts w:ascii="Times New Roman"/>
          <w:i/>
          <w:iCs/>
          <w:sz w:val="24"/>
          <w:szCs w:val="24"/>
        </w:rPr>
        <w:t>Hib</w:t>
      </w:r>
      <w:r w:rsidRPr="00F974DB">
        <w:rPr>
          <w:rFonts w:ascii="Times New Roman"/>
          <w:sz w:val="24"/>
          <w:szCs w:val="24"/>
        </w:rPr>
        <w:t>. Cependant, les souches non encapsulées, qui ne sont pas couvertes par ce vaccin, demeurent une cause importante d’infections respiratoires, en particulier chez les individus immunodéprimés ou atteints de maladies chroniques.</w:t>
      </w:r>
    </w:p>
    <w:p w:rsidR="008006A7" w:rsidRDefault="008006A7"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outlineLvl w:val="2"/>
        <w:rPr>
          <w:rFonts w:ascii="Times New Roman"/>
          <w:b/>
          <w:bCs/>
          <w:color w:val="548DD4" w:themeColor="text2" w:themeTint="99"/>
          <w:sz w:val="36"/>
          <w:szCs w:val="36"/>
        </w:rPr>
      </w:pPr>
      <w:r w:rsidRPr="0091653A">
        <w:rPr>
          <w:rFonts w:ascii="Times New Roman"/>
          <w:b/>
          <w:bCs/>
          <w:i/>
          <w:iCs/>
          <w:color w:val="548DD4" w:themeColor="text2" w:themeTint="99"/>
          <w:sz w:val="36"/>
          <w:szCs w:val="36"/>
        </w:rPr>
        <w:lastRenderedPageBreak/>
        <w:t>Campylobacter jejuni</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i/>
          <w:iCs/>
          <w:sz w:val="24"/>
          <w:szCs w:val="24"/>
        </w:rPr>
        <w:t>Campylobacter jejuni</w:t>
      </w:r>
      <w:r w:rsidRPr="00F974DB">
        <w:rPr>
          <w:rFonts w:ascii="Times New Roman"/>
          <w:sz w:val="24"/>
          <w:szCs w:val="24"/>
        </w:rPr>
        <w:t xml:space="preserve"> est une bactérie spiralée, gram-négative, appartenant à la famille des Campylobacteraceae. Elle est mobile grâce à un ou deux flagelles polaires et possède une morphologie caractéristique en forme de spirale ou de virgule. Elle est microaérophile, nécessitant une faible concentration en oxygène pour sa croissance, et thermophile, se développant de manière optimale entre 37 et 42°C. Cette température idéale est proche de celle de l’intestin des oiseaux, qui constituent son principal réservoir naturel.</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Épidémiologie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i/>
          <w:iCs/>
          <w:sz w:val="24"/>
          <w:szCs w:val="24"/>
        </w:rPr>
        <w:t>Campylobacter jejuni</w:t>
      </w:r>
      <w:r w:rsidRPr="00F974DB">
        <w:rPr>
          <w:rFonts w:ascii="Times New Roman"/>
          <w:sz w:val="24"/>
          <w:szCs w:val="24"/>
        </w:rPr>
        <w:t xml:space="preserve"> est l'une des principales causes de gastro-entérite bactérienne dans le monde. La transmission à l’homme se fait principalement par voie orale, à travers la consommation d’aliments contaminés tels que la viande de volaille insuffisamment cuite, le lait non pasteurisé ou l’eau contaminée. Les contacts directs avec des animaux infectés ou leurs excréments peuvent également être une source de contamination. La bactérie est fréquemment retrouvée dans les environnements agricoles, où elle colonise les intestins des animaux sans causer de maladie.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Pathogénicité</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L'infection par </w:t>
      </w:r>
      <w:r w:rsidRPr="00F974DB">
        <w:rPr>
          <w:rFonts w:ascii="Times New Roman"/>
          <w:i/>
          <w:iCs/>
          <w:sz w:val="24"/>
          <w:szCs w:val="24"/>
        </w:rPr>
        <w:t>Campylobacter jejuni</w:t>
      </w:r>
      <w:r w:rsidRPr="00F974DB">
        <w:rPr>
          <w:rFonts w:ascii="Times New Roman"/>
          <w:sz w:val="24"/>
          <w:szCs w:val="24"/>
        </w:rPr>
        <w:t xml:space="preserve"> débute généralement par l’ingestion d’un faible nombre de bactéries. Une fois dans le tube digestif, </w:t>
      </w:r>
      <w:r w:rsidRPr="00F974DB">
        <w:rPr>
          <w:rFonts w:ascii="Times New Roman"/>
          <w:i/>
          <w:iCs/>
          <w:sz w:val="24"/>
          <w:szCs w:val="24"/>
        </w:rPr>
        <w:t>C. jejuni</w:t>
      </w:r>
      <w:r w:rsidRPr="00F974DB">
        <w:rPr>
          <w:rFonts w:ascii="Times New Roman"/>
          <w:sz w:val="24"/>
          <w:szCs w:val="24"/>
        </w:rPr>
        <w:t xml:space="preserve"> colonise l’intestin grêle et le côlon. La motilité conférée par ses flagelles lui permet de traverser la couche de mucus intestinal, facilitant son interaction avec les cellules épithéliales. Cette adhérence est médiée par des protéines spécifiques et des lipopolysaccharides présents sur la surface bactérienne. La bactérie peut ensuite envahir les cellules épithéliales ou provoquer une inflammation locale par la production de toxines, notamment la cytolethal distending toxin (CDT), qui entraîne des dommages à l’ADN des cellules hôtes.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Manifestations cliniques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L’infection par </w:t>
      </w:r>
      <w:r w:rsidRPr="00F974DB">
        <w:rPr>
          <w:rFonts w:ascii="Times New Roman"/>
          <w:i/>
          <w:iCs/>
          <w:sz w:val="24"/>
          <w:szCs w:val="24"/>
        </w:rPr>
        <w:t>Campylobacter jejuni</w:t>
      </w:r>
      <w:r w:rsidRPr="00F974DB">
        <w:rPr>
          <w:rFonts w:ascii="Times New Roman"/>
          <w:sz w:val="24"/>
          <w:szCs w:val="24"/>
        </w:rPr>
        <w:t xml:space="preserve"> se manifeste principalement par une gastro-entérite aiguë. Les symptômes incluent des douleurs abdominales sévères, des diarrhées souvent sanglantes, des nausées, des vomissements et de la fièvre. La maladie est généralement autolimitée et dure entre 3 et 7 jours. Cependant, des complications peuvent survenir, notamment chez les individus immunodéprimés ou en cas de traitement retardé. Parmi ces complications figurent la bactériémie, l'arthrite réactive et le syndrome de Guillain-Barré, une maladie auto-immune rare mais grave provoquant une paralysie ascendante.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Diagnostic</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Le diagnostic de </w:t>
      </w:r>
      <w:r w:rsidRPr="00F974DB">
        <w:rPr>
          <w:rFonts w:ascii="Times New Roman"/>
          <w:i/>
          <w:iCs/>
          <w:sz w:val="24"/>
          <w:szCs w:val="24"/>
        </w:rPr>
        <w:t>Campylobacter jejuni</w:t>
      </w:r>
      <w:r w:rsidRPr="00F974DB">
        <w:rPr>
          <w:rFonts w:ascii="Times New Roman"/>
          <w:sz w:val="24"/>
          <w:szCs w:val="24"/>
        </w:rPr>
        <w:t xml:space="preserve"> repose principalement sur l’analyse des selles des patients. La culture bactérienne reste la méthode de référence. Elle est réalisée sur des milieux </w:t>
      </w:r>
      <w:r w:rsidRPr="00F974DB">
        <w:rPr>
          <w:rFonts w:ascii="Times New Roman"/>
          <w:sz w:val="24"/>
          <w:szCs w:val="24"/>
        </w:rPr>
        <w:lastRenderedPageBreak/>
        <w:t>sélectifs enrichis, incubés dans des conditions microaérophiles à 42°C pour favoriser la croissance de la bactérie. Des techniques moléculaires comme la PCR permettent une identification rapide et spécifique. La microscopie peut également révéler la morphologie caractéristique de la bactérie, mais elle est moins utilisée en pratique clinique.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Traitement</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Dans la majorité des cas, l’infection par </w:t>
      </w:r>
      <w:r w:rsidRPr="00F974DB">
        <w:rPr>
          <w:rFonts w:ascii="Times New Roman"/>
          <w:i/>
          <w:iCs/>
          <w:sz w:val="24"/>
          <w:szCs w:val="24"/>
        </w:rPr>
        <w:t>Campylobacter jejuni</w:t>
      </w:r>
      <w:r w:rsidRPr="00F974DB">
        <w:rPr>
          <w:rFonts w:ascii="Times New Roman"/>
          <w:sz w:val="24"/>
          <w:szCs w:val="24"/>
        </w:rPr>
        <w:t xml:space="preserve"> ne nécessite pas de traitement antibiotique et se résout spontanément avec une prise en charge symptomatique, notamment la réhydratation. Cependant, dans les formes sévères ou compliquées, des antibiotiques comme les macrolides (érythromycine) ou les fluoroquinolones (ciprofloxacine) sont utilisés. La résistance croissante de </w:t>
      </w:r>
      <w:r w:rsidRPr="00F974DB">
        <w:rPr>
          <w:rFonts w:ascii="Times New Roman"/>
          <w:i/>
          <w:iCs/>
          <w:sz w:val="24"/>
          <w:szCs w:val="24"/>
        </w:rPr>
        <w:t>C. jejuni</w:t>
      </w:r>
      <w:r w:rsidRPr="00F974DB">
        <w:rPr>
          <w:rFonts w:ascii="Times New Roman"/>
          <w:sz w:val="24"/>
          <w:szCs w:val="24"/>
        </w:rPr>
        <w:t xml:space="preserve"> aux fluoroquinolones constitue un problème de santé publique majeur, nécessitant une utilisation prudente des antibiotiques.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Prévention</w:t>
      </w: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 xml:space="preserve">La prévention des infections à </w:t>
      </w:r>
      <w:r w:rsidRPr="00F974DB">
        <w:rPr>
          <w:rFonts w:ascii="Times New Roman"/>
          <w:i/>
          <w:iCs/>
          <w:sz w:val="24"/>
          <w:szCs w:val="24"/>
        </w:rPr>
        <w:t>Campylobacter jejuni</w:t>
      </w:r>
      <w:r w:rsidRPr="00F974DB">
        <w:rPr>
          <w:rFonts w:ascii="Times New Roman"/>
          <w:sz w:val="24"/>
          <w:szCs w:val="24"/>
        </w:rPr>
        <w:t xml:space="preserve"> repose sur plusieurs mesures visant à réduire la contamination alimentaire et environnementale. La cuisson complète de la viande, en particulier la volaille, est essentielle pour éliminer la bactérie. L’hygiène lors de la manipulation des aliments, comme le lavage des mains et l’évitement de la contamination croisée entre aliments crus et cuits, est également importante. La pasteurisation du lait et l’amélioration de la qualité de l’eau potable réduisent efficacement les risques de transmission. Enfin, dans les élevages, des stratégies comme la vaccination des volailles ou l’amélioration des conditions d’hygiène pourraient réduire la prévalence de </w:t>
      </w:r>
      <w:r w:rsidRPr="00F974DB">
        <w:rPr>
          <w:rFonts w:ascii="Times New Roman"/>
          <w:i/>
          <w:iCs/>
          <w:sz w:val="24"/>
          <w:szCs w:val="24"/>
        </w:rPr>
        <w:t>C. jejuni</w:t>
      </w:r>
      <w:r w:rsidRPr="00F974DB">
        <w:rPr>
          <w:rFonts w:ascii="Times New Roman"/>
          <w:sz w:val="24"/>
          <w:szCs w:val="24"/>
        </w:rPr>
        <w:t xml:space="preserve"> dans les réservoirs animaux.</w:t>
      </w: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outlineLvl w:val="2"/>
        <w:rPr>
          <w:rFonts w:ascii="Times New Roman"/>
          <w:b/>
          <w:bCs/>
          <w:color w:val="548DD4" w:themeColor="text2" w:themeTint="99"/>
          <w:sz w:val="36"/>
          <w:szCs w:val="36"/>
        </w:rPr>
      </w:pPr>
      <w:r w:rsidRPr="00F974DB">
        <w:rPr>
          <w:rFonts w:ascii="Times New Roman"/>
          <w:b/>
          <w:bCs/>
          <w:color w:val="548DD4" w:themeColor="text2" w:themeTint="99"/>
          <w:sz w:val="36"/>
          <w:szCs w:val="36"/>
        </w:rPr>
        <w:t>Les bactéries anaérobies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Les bactéries anaérobies constituent un groupe diversifié d’organismes microbiens qui prospèrent en l’absence d’oxygène. Certaines sont strictement anaérobies et ne peuvent survivre en présence d’oxygène, tandis que d’autres, dites anaérobies facultatives, sont capables de tolérer des conditions oxygénées. Ces bactéries jouent un rôle essentiel dans divers écosystèmes, notamment dans les sols, les intestins des humains et des animaux, ainsi que dans des environnements pauvres en oxygène tels que les marécages ou les eaux stagnantes.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Caractéristiques générales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Les bactéries anaérobies diffèrent des bactéries aérobies par leur incapacité à utiliser l’oxygène comme accepteur final d’électrons dans la chaîne de transport d’électrons. À la place, elles utilisent des accepteurs alternatifs tels que les nitrates, les sulfates ou le dioxyde de carbone. Cette particularité métabolique limite leur croissance dans des environnements oxygénés, car l’oxygène peut produire des espèces réactives de l’oxygène (ERO) toxiques. Les bactéri</w:t>
      </w:r>
      <w:r w:rsidR="0091653A">
        <w:rPr>
          <w:rFonts w:ascii="Times New Roman"/>
          <w:sz w:val="24"/>
          <w:szCs w:val="24"/>
        </w:rPr>
        <w:t xml:space="preserve">es anaérobies strictes possèdent souvent des </w:t>
      </w:r>
      <w:r w:rsidRPr="00F974DB">
        <w:rPr>
          <w:rFonts w:ascii="Times New Roman"/>
          <w:sz w:val="24"/>
          <w:szCs w:val="24"/>
        </w:rPr>
        <w:t>enzymes comme la superoxyde dismutase et la catalase, nécessaires pour neutraliser ces composés.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Les bactéries anaérobies sont responsables d'une variété de processus biologiques essentiels, tels que la fermentation et la réduction des composés inorganiques, jouant un rôle clé dans les cycles biogéochimiques du carbone, de l’azote et du soufre.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Classification et exemples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Les bactéries anaérobies se retrouvent dans de nombreux groupes taxonomiques et présentent une grande diversité morphologique et métabolique. Parmi les plus courantes, on trouve :</w:t>
      </w:r>
    </w:p>
    <w:p w:rsidR="00F974DB" w:rsidRPr="00F974DB" w:rsidRDefault="00F974DB" w:rsidP="0091653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Famille des Clostridiaceae</w:t>
      </w:r>
      <w:r w:rsidRPr="00F974DB">
        <w:rPr>
          <w:rFonts w:ascii="Times New Roman"/>
          <w:sz w:val="24"/>
          <w:szCs w:val="24"/>
        </w:rPr>
        <w:t xml:space="preserve"> : </w:t>
      </w:r>
      <w:r w:rsidRPr="00F974DB">
        <w:rPr>
          <w:rFonts w:ascii="Times New Roman"/>
          <w:i/>
          <w:iCs/>
          <w:sz w:val="24"/>
          <w:szCs w:val="24"/>
        </w:rPr>
        <w:t>Clostridium difficile</w:t>
      </w:r>
      <w:r w:rsidRPr="00F974DB">
        <w:rPr>
          <w:rFonts w:ascii="Times New Roman"/>
          <w:sz w:val="24"/>
          <w:szCs w:val="24"/>
        </w:rPr>
        <w:t xml:space="preserve">, </w:t>
      </w:r>
      <w:r w:rsidRPr="00F974DB">
        <w:rPr>
          <w:rFonts w:ascii="Times New Roman"/>
          <w:i/>
          <w:iCs/>
          <w:sz w:val="24"/>
          <w:szCs w:val="24"/>
        </w:rPr>
        <w:t>Clostridium botulinum</w:t>
      </w:r>
      <w:r w:rsidRPr="00F974DB">
        <w:rPr>
          <w:rFonts w:ascii="Times New Roman"/>
          <w:sz w:val="24"/>
          <w:szCs w:val="24"/>
        </w:rPr>
        <w:t xml:space="preserve">, </w:t>
      </w:r>
      <w:r w:rsidRPr="00F974DB">
        <w:rPr>
          <w:rFonts w:ascii="Times New Roman"/>
          <w:i/>
          <w:iCs/>
          <w:sz w:val="24"/>
          <w:szCs w:val="24"/>
        </w:rPr>
        <w:t>Clostridium tetani</w:t>
      </w:r>
      <w:r w:rsidRPr="00F974DB">
        <w:rPr>
          <w:rFonts w:ascii="Times New Roman"/>
          <w:sz w:val="24"/>
          <w:szCs w:val="24"/>
        </w:rPr>
        <w:t xml:space="preserve">, </w:t>
      </w:r>
      <w:r w:rsidRPr="00F974DB">
        <w:rPr>
          <w:rFonts w:ascii="Times New Roman"/>
          <w:i/>
          <w:iCs/>
          <w:sz w:val="24"/>
          <w:szCs w:val="24"/>
        </w:rPr>
        <w:t>Clostridium perfringens</w:t>
      </w:r>
      <w:r w:rsidRPr="00F974DB">
        <w:rPr>
          <w:rFonts w:ascii="Times New Roman"/>
          <w:sz w:val="24"/>
          <w:szCs w:val="24"/>
        </w:rPr>
        <w:t>.</w:t>
      </w:r>
    </w:p>
    <w:p w:rsidR="00F974DB" w:rsidRPr="00F974DB" w:rsidRDefault="00F974DB" w:rsidP="0091653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Famille des Bacteroidaceae</w:t>
      </w:r>
      <w:r w:rsidRPr="00F974DB">
        <w:rPr>
          <w:rFonts w:ascii="Times New Roman"/>
          <w:sz w:val="24"/>
          <w:szCs w:val="24"/>
        </w:rPr>
        <w:t xml:space="preserve"> : </w:t>
      </w:r>
      <w:r w:rsidRPr="00F974DB">
        <w:rPr>
          <w:rFonts w:ascii="Times New Roman"/>
          <w:i/>
          <w:iCs/>
          <w:sz w:val="24"/>
          <w:szCs w:val="24"/>
        </w:rPr>
        <w:t>Bacteroides fragilis</w:t>
      </w:r>
      <w:r w:rsidRPr="00F974DB">
        <w:rPr>
          <w:rFonts w:ascii="Times New Roman"/>
          <w:sz w:val="24"/>
          <w:szCs w:val="24"/>
        </w:rPr>
        <w:t xml:space="preserve">, </w:t>
      </w:r>
      <w:r w:rsidRPr="00F974DB">
        <w:rPr>
          <w:rFonts w:ascii="Times New Roman"/>
          <w:i/>
          <w:iCs/>
          <w:sz w:val="24"/>
          <w:szCs w:val="24"/>
        </w:rPr>
        <w:t>Bacteroides thetaiotaomicron</w:t>
      </w:r>
      <w:r w:rsidRPr="00F974DB">
        <w:rPr>
          <w:rFonts w:ascii="Times New Roman"/>
          <w:sz w:val="24"/>
          <w:szCs w:val="24"/>
        </w:rPr>
        <w:t>.</w:t>
      </w:r>
    </w:p>
    <w:p w:rsidR="00F974DB" w:rsidRPr="00F974DB" w:rsidRDefault="00F974DB" w:rsidP="0091653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Famille des Fusobacteriaceae</w:t>
      </w:r>
      <w:r w:rsidRPr="00F974DB">
        <w:rPr>
          <w:rFonts w:ascii="Times New Roman"/>
          <w:sz w:val="24"/>
          <w:szCs w:val="24"/>
        </w:rPr>
        <w:t xml:space="preserve"> : </w:t>
      </w:r>
      <w:r w:rsidRPr="00F974DB">
        <w:rPr>
          <w:rFonts w:ascii="Times New Roman"/>
          <w:i/>
          <w:iCs/>
          <w:sz w:val="24"/>
          <w:szCs w:val="24"/>
        </w:rPr>
        <w:t>Fusobacterium nucleatum</w:t>
      </w:r>
      <w:r w:rsidRPr="00F974DB">
        <w:rPr>
          <w:rFonts w:ascii="Times New Roman"/>
          <w:sz w:val="24"/>
          <w:szCs w:val="24"/>
        </w:rPr>
        <w:t>.</w:t>
      </w:r>
    </w:p>
    <w:p w:rsidR="00F974DB" w:rsidRPr="00F974DB" w:rsidRDefault="00F974DB" w:rsidP="0091653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Famille des Peptostreptococcaceae</w:t>
      </w:r>
      <w:r w:rsidRPr="00F974DB">
        <w:rPr>
          <w:rFonts w:ascii="Times New Roman"/>
          <w:sz w:val="24"/>
          <w:szCs w:val="24"/>
        </w:rPr>
        <w:t xml:space="preserve"> : </w:t>
      </w:r>
      <w:r w:rsidRPr="00F974DB">
        <w:rPr>
          <w:rFonts w:ascii="Times New Roman"/>
          <w:i/>
          <w:iCs/>
          <w:sz w:val="24"/>
          <w:szCs w:val="24"/>
        </w:rPr>
        <w:t>Peptostreptococcus anaerobius</w:t>
      </w:r>
      <w:r w:rsidRPr="00F974DB">
        <w:rPr>
          <w:rFonts w:ascii="Times New Roman"/>
          <w:sz w:val="24"/>
          <w:szCs w:val="24"/>
        </w:rPr>
        <w:t>.</w:t>
      </w:r>
    </w:p>
    <w:p w:rsidR="00F974DB" w:rsidRPr="00F974DB" w:rsidRDefault="00F974DB" w:rsidP="0091653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Famille des Actinobacteria</w:t>
      </w:r>
      <w:r w:rsidRPr="00F974DB">
        <w:rPr>
          <w:rFonts w:ascii="Times New Roman"/>
          <w:sz w:val="24"/>
          <w:szCs w:val="24"/>
        </w:rPr>
        <w:t xml:space="preserve"> : </w:t>
      </w:r>
      <w:r w:rsidRPr="00F974DB">
        <w:rPr>
          <w:rFonts w:ascii="Times New Roman"/>
          <w:i/>
          <w:iCs/>
          <w:sz w:val="24"/>
          <w:szCs w:val="24"/>
        </w:rPr>
        <w:t>Propionibacterium acnes</w:t>
      </w:r>
      <w:r w:rsidRPr="00F974DB">
        <w:rPr>
          <w:rFonts w:ascii="Times New Roman"/>
          <w:sz w:val="24"/>
          <w:szCs w:val="24"/>
        </w:rPr>
        <w:t>.</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Ces bactéries varient en taille, en forme (bacilles, coques, spirilles) et en habitat, mais elles partagent une caractéristique commune : leur croissance optimale dans des environnements anaérobies.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Habitat et répartition</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lastRenderedPageBreak/>
        <w:t>Les bactéries anaérobies colonisent des environnements naturels et artificiels où l’oxygène est absent ou en très faible concentration. Dans le sol, elles décomposent les matières organiques et participent à la minéralisation. Dans les intestins des humains et des animaux, elles jouent un rôle crucial dans la digestion des aliments, la synthèse de certaines vitamines (par exemple, la vitamine K), et le maintien de l’équilibre du microbiote.</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Dans le corps humain, elles représentent une part importante du microbiote commensal, particulièrement dans le tractus gastro-intestinal, les voies génitales, et la cavité buccale. Cependant, ces bactéries peuvent devenir pathogènes en cas de déséquilibre, provoquant des infections opportunistes.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Pathogénicité et infections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Les bactéries anaérobies sont impliquées dans plusieurs infections humaines, notamment celles qui surviennent dans des environnements hypoxiques ou après un traumatisme. Parmi les infections les plus courantes figurent :</w:t>
      </w:r>
    </w:p>
    <w:p w:rsidR="00F974DB" w:rsidRPr="00F974DB" w:rsidRDefault="00F974DB" w:rsidP="0091653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Infections intra-abdominales</w:t>
      </w:r>
      <w:r w:rsidRPr="00F974DB">
        <w:rPr>
          <w:rFonts w:ascii="Times New Roman"/>
          <w:sz w:val="24"/>
          <w:szCs w:val="24"/>
        </w:rPr>
        <w:t xml:space="preserve"> : Ces infections résultent souvent d’une perforation intestinale ou d’une appendicite, et sont dominées par des bactéries comme </w:t>
      </w:r>
      <w:r w:rsidRPr="00F974DB">
        <w:rPr>
          <w:rFonts w:ascii="Times New Roman"/>
          <w:i/>
          <w:iCs/>
          <w:sz w:val="24"/>
          <w:szCs w:val="24"/>
        </w:rPr>
        <w:t>Bacteroides fragilis</w:t>
      </w:r>
      <w:r w:rsidRPr="00F974DB">
        <w:rPr>
          <w:rFonts w:ascii="Times New Roman"/>
          <w:sz w:val="24"/>
          <w:szCs w:val="24"/>
        </w:rPr>
        <w:t>.</w:t>
      </w:r>
    </w:p>
    <w:p w:rsidR="00F974DB" w:rsidRPr="00F974DB" w:rsidRDefault="00F974DB" w:rsidP="0091653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Abcès cérébraux et dentaires</w:t>
      </w:r>
      <w:r w:rsidRPr="00F974DB">
        <w:rPr>
          <w:rFonts w:ascii="Times New Roman"/>
          <w:sz w:val="24"/>
          <w:szCs w:val="24"/>
        </w:rPr>
        <w:t xml:space="preserve"> : </w:t>
      </w:r>
      <w:r w:rsidRPr="00F974DB">
        <w:rPr>
          <w:rFonts w:ascii="Times New Roman"/>
          <w:i/>
          <w:iCs/>
          <w:sz w:val="24"/>
          <w:szCs w:val="24"/>
        </w:rPr>
        <w:t>Fusobacterium</w:t>
      </w:r>
      <w:r w:rsidRPr="00F974DB">
        <w:rPr>
          <w:rFonts w:ascii="Times New Roman"/>
          <w:sz w:val="24"/>
          <w:szCs w:val="24"/>
        </w:rPr>
        <w:t xml:space="preserve"> et </w:t>
      </w:r>
      <w:r w:rsidRPr="00F974DB">
        <w:rPr>
          <w:rFonts w:ascii="Times New Roman"/>
          <w:i/>
          <w:iCs/>
          <w:sz w:val="24"/>
          <w:szCs w:val="24"/>
        </w:rPr>
        <w:t>Peptostreptococcus</w:t>
      </w:r>
      <w:r w:rsidRPr="00F974DB">
        <w:rPr>
          <w:rFonts w:ascii="Times New Roman"/>
          <w:sz w:val="24"/>
          <w:szCs w:val="24"/>
        </w:rPr>
        <w:t xml:space="preserve"> sont fréquemment impliqués dans la formation d'abcès localisés.</w:t>
      </w:r>
    </w:p>
    <w:p w:rsidR="00F974DB" w:rsidRPr="00F974DB" w:rsidRDefault="00F974DB" w:rsidP="0091653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Gangrène gazeuse</w:t>
      </w:r>
      <w:r w:rsidRPr="00F974DB">
        <w:rPr>
          <w:rFonts w:ascii="Times New Roman"/>
          <w:sz w:val="24"/>
          <w:szCs w:val="24"/>
        </w:rPr>
        <w:t xml:space="preserve"> : Provoquée par </w:t>
      </w:r>
      <w:r w:rsidRPr="00F974DB">
        <w:rPr>
          <w:rFonts w:ascii="Times New Roman"/>
          <w:i/>
          <w:iCs/>
          <w:sz w:val="24"/>
          <w:szCs w:val="24"/>
        </w:rPr>
        <w:t>Clostridium perfringens</w:t>
      </w:r>
      <w:r w:rsidRPr="00F974DB">
        <w:rPr>
          <w:rFonts w:ascii="Times New Roman"/>
          <w:sz w:val="24"/>
          <w:szCs w:val="24"/>
        </w:rPr>
        <w:t>, cette maladie grave entraîne une destruction rapide des tissus.</w:t>
      </w:r>
    </w:p>
    <w:p w:rsidR="00F974DB" w:rsidRPr="00F974DB" w:rsidRDefault="00F974DB" w:rsidP="0091653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Infections des tissus mous et cutanés</w:t>
      </w:r>
      <w:r w:rsidRPr="00F974DB">
        <w:rPr>
          <w:rFonts w:ascii="Times New Roman"/>
          <w:sz w:val="24"/>
          <w:szCs w:val="24"/>
        </w:rPr>
        <w:t xml:space="preserve"> : Les blessures profondes contaminées, les escarres et les ulcères peuvent être colonisés par des bactéries comme </w:t>
      </w:r>
      <w:r w:rsidRPr="00F974DB">
        <w:rPr>
          <w:rFonts w:ascii="Times New Roman"/>
          <w:i/>
          <w:iCs/>
          <w:sz w:val="24"/>
          <w:szCs w:val="24"/>
        </w:rPr>
        <w:t>Clostridium tetani</w:t>
      </w:r>
      <w:r w:rsidRPr="00F974DB">
        <w:rPr>
          <w:rFonts w:ascii="Times New Roman"/>
          <w:sz w:val="24"/>
          <w:szCs w:val="24"/>
        </w:rPr>
        <w:t xml:space="preserve"> ou </w:t>
      </w:r>
      <w:r w:rsidRPr="00F974DB">
        <w:rPr>
          <w:rFonts w:ascii="Times New Roman"/>
          <w:i/>
          <w:iCs/>
          <w:sz w:val="24"/>
          <w:szCs w:val="24"/>
        </w:rPr>
        <w:t>Bacteroides</w:t>
      </w:r>
      <w:r w:rsidRPr="00F974DB">
        <w:rPr>
          <w:rFonts w:ascii="Times New Roman"/>
          <w:sz w:val="24"/>
          <w:szCs w:val="24"/>
        </w:rPr>
        <w:t>.</w:t>
      </w:r>
    </w:p>
    <w:p w:rsidR="00F974DB" w:rsidRPr="00F974DB" w:rsidRDefault="00F974DB" w:rsidP="0091653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b/>
          <w:bCs/>
          <w:sz w:val="24"/>
          <w:szCs w:val="24"/>
        </w:rPr>
        <w:t>Botulisme et tétanos</w:t>
      </w:r>
      <w:r w:rsidRPr="00F974DB">
        <w:rPr>
          <w:rFonts w:ascii="Times New Roman"/>
          <w:sz w:val="24"/>
          <w:szCs w:val="24"/>
        </w:rPr>
        <w:t xml:space="preserve"> : Causés respectivement par les toxines de </w:t>
      </w:r>
      <w:r w:rsidRPr="00F974DB">
        <w:rPr>
          <w:rFonts w:ascii="Times New Roman"/>
          <w:i/>
          <w:iCs/>
          <w:sz w:val="24"/>
          <w:szCs w:val="24"/>
        </w:rPr>
        <w:t>Clostridium botulinum</w:t>
      </w:r>
      <w:r w:rsidRPr="00F974DB">
        <w:rPr>
          <w:rFonts w:ascii="Times New Roman"/>
          <w:sz w:val="24"/>
          <w:szCs w:val="24"/>
        </w:rPr>
        <w:t xml:space="preserve"> et </w:t>
      </w:r>
      <w:r w:rsidRPr="00F974DB">
        <w:rPr>
          <w:rFonts w:ascii="Times New Roman"/>
          <w:i/>
          <w:iCs/>
          <w:sz w:val="24"/>
          <w:szCs w:val="24"/>
        </w:rPr>
        <w:t>Clostridium tetani</w:t>
      </w:r>
      <w:r w:rsidRPr="00F974DB">
        <w:rPr>
          <w:rFonts w:ascii="Times New Roman"/>
          <w:sz w:val="24"/>
          <w:szCs w:val="24"/>
        </w:rPr>
        <w:t>, ces maladies sont potentiellement mortelles.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Ces infections sont souvent caractérisées par une destruction tissulaire importante, des productions de gaz ou de pus malodorant, et une progression rapide en l'absence de traitement.</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Diagnostic</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Le diagnostic des infections à bactéries anaérobies repose sur des prélèvements effectués dans des conditions strictement anaérobies pour éviter la contamination par des bactéries aérobies. Les échantillons sont ensuite cultivés sur des milieux spécifiques, tels que le milieu de thioglycolate ou le milieu Schaedler, dans des chambres anaérobies. Des techniques moléculaires comme la PCR peuvent également être utilisées pour identifier les espèces rapidement et avec précision. La coloration de Gram, bien que utile pour une évaluation initiale, est souvent insuffisante seule pour identifier les anaérobies.</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Traitement</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lastRenderedPageBreak/>
        <w:t xml:space="preserve">Le traitement des infections à bactéries anaérobies combine des approches médicales et chirurgicales. L'excision des tissus nécrosés ou le drainage des abcès est souvent nécessaire pour éliminer les zones d'infection. Sur le plan antibiotique, les molécules efficaces incluent le métronidazole, la clindamycine et les bêta-lactamines associées à des inhibiteurs de bêta-lactamases. La résistance aux antibiotiques étant en augmentation chez certaines souches, comme </w:t>
      </w:r>
      <w:r w:rsidRPr="00F974DB">
        <w:rPr>
          <w:rFonts w:ascii="Times New Roman"/>
          <w:i/>
          <w:iCs/>
          <w:sz w:val="24"/>
          <w:szCs w:val="24"/>
        </w:rPr>
        <w:t>Bacteroides fragilis</w:t>
      </w:r>
      <w:r w:rsidRPr="00F974DB">
        <w:rPr>
          <w:rFonts w:ascii="Times New Roman"/>
          <w:sz w:val="24"/>
          <w:szCs w:val="24"/>
        </w:rPr>
        <w:t>, il est essentiel de réaliser un antibiogramme pour guider le traitement.</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outlineLvl w:val="2"/>
        <w:rPr>
          <w:rFonts w:ascii="Times New Roman"/>
          <w:b/>
          <w:bCs/>
          <w:sz w:val="27"/>
          <w:szCs w:val="27"/>
        </w:rPr>
      </w:pPr>
      <w:r w:rsidRPr="00F974DB">
        <w:rPr>
          <w:rFonts w:ascii="Times New Roman"/>
          <w:b/>
          <w:bCs/>
          <w:sz w:val="27"/>
          <w:szCs w:val="27"/>
        </w:rPr>
        <w:t>Prévention</w:t>
      </w:r>
    </w:p>
    <w:p w:rsidR="00F974DB" w:rsidRPr="00F974DB" w:rsidRDefault="00F974DB" w:rsidP="009165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F974DB">
        <w:rPr>
          <w:rFonts w:ascii="Times New Roman"/>
          <w:sz w:val="24"/>
          <w:szCs w:val="24"/>
        </w:rPr>
        <w:t>La prévention des infections à bactéries anaérobies repose principalement sur l’hygiène et la prise en charge rapide des blessures ou des interventions chirurgicales susceptibles de créer un environnement favorable à leur prolifération. Les vaccins, comme celui contre le tétanos, sont d’une grande efficacité pour prévenir certaines infections graves. Enfin, la gestion appropriée des antibiotiques est cruciale pour limiter l’émergence de résistances chez ces pathogènes.</w:t>
      </w:r>
    </w:p>
    <w:p w:rsidR="00F974DB" w:rsidRPr="00F974DB" w:rsidRDefault="00F974DB" w:rsidP="00F97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p>
    <w:p w:rsidR="00F974DB" w:rsidRPr="008006A7" w:rsidRDefault="00F974DB"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sectPr w:rsidR="00F974DB" w:rsidRPr="008006A7" w:rsidSect="00DE252E">
      <w:headerReference w:type="default" r:id="rId8"/>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39C" w:rsidRDefault="0099239C" w:rsidP="00450FBE">
      <w:pPr>
        <w:spacing w:after="0" w:line="240" w:lineRule="auto"/>
      </w:pPr>
      <w:r>
        <w:separator/>
      </w:r>
    </w:p>
  </w:endnote>
  <w:endnote w:type="continuationSeparator" w:id="1">
    <w:p w:rsidR="0099239C" w:rsidRDefault="0099239C" w:rsidP="0045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39C" w:rsidRDefault="0099239C" w:rsidP="00450FBE">
      <w:pPr>
        <w:spacing w:after="0" w:line="240" w:lineRule="auto"/>
      </w:pPr>
      <w:r>
        <w:separator/>
      </w:r>
    </w:p>
  </w:footnote>
  <w:footnote w:type="continuationSeparator" w:id="1">
    <w:p w:rsidR="0099239C" w:rsidRDefault="0099239C" w:rsidP="00450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BE" w:rsidRPr="00450FBE" w:rsidRDefault="00450FBE">
    <w:pPr>
      <w:pStyle w:val="En-tte"/>
      <w:rPr>
        <w:rFonts w:ascii="Times New Roman"/>
      </w:rPr>
    </w:pPr>
    <w:r w:rsidRPr="00450FBE">
      <w:rPr>
        <w:rFonts w:ascii="Times New Roman"/>
      </w:rPr>
      <w:t>Module</w:t>
    </w:r>
    <w:r>
      <w:rPr>
        <w:rFonts w:ascii="Times New Roman"/>
      </w:rPr>
      <w:t> :</w:t>
    </w:r>
    <w:r w:rsidRPr="00450FBE">
      <w:rPr>
        <w:rFonts w:ascii="Times New Roman"/>
      </w:rPr>
      <w:t xml:space="preserve">Microbiologie Clinique </w:t>
    </w:r>
  </w:p>
  <w:p w:rsidR="00450FBE" w:rsidRPr="00450FBE" w:rsidRDefault="00450FBE">
    <w:pPr>
      <w:pStyle w:val="En-tte"/>
      <w:rPr>
        <w:rFonts w:ascii="Times New Roman"/>
      </w:rPr>
    </w:pPr>
    <w:r w:rsidRPr="00450FBE">
      <w:rPr>
        <w:rFonts w:ascii="Times New Roman"/>
      </w:rPr>
      <w:t>Enseignant</w:t>
    </w:r>
    <w:r>
      <w:rPr>
        <w:rFonts w:ascii="Times New Roman"/>
      </w:rPr>
      <w:t> :</w:t>
    </w:r>
    <w:r w:rsidRPr="00450FBE">
      <w:rPr>
        <w:rFonts w:ascii="Times New Roman"/>
      </w:rPr>
      <w:t>Charifi Samia</w:t>
    </w:r>
  </w:p>
  <w:p w:rsidR="00450FBE" w:rsidRPr="00450FBE" w:rsidRDefault="00450FBE">
    <w:pPr>
      <w:pStyle w:val="En-tte"/>
      <w:rPr>
        <w:rFonts w:ascii="Times New Roman"/>
      </w:rPr>
    </w:pPr>
    <w:r w:rsidRPr="00450FBE">
      <w:rPr>
        <w:rFonts w:ascii="Times New Roman"/>
      </w:rPr>
      <w:t>Master 1</w:t>
    </w:r>
    <w:r>
      <w:rPr>
        <w:rFonts w:ascii="Times New Roman"/>
      </w:rPr>
      <w:t xml:space="preserve"> : </w:t>
    </w:r>
    <w:r w:rsidRPr="00450FBE">
      <w:rPr>
        <w:rFonts w:ascii="Times New Roman"/>
      </w:rPr>
      <w:t>Microbiologie Appliquée</w:t>
    </w:r>
  </w:p>
  <w:p w:rsidR="00450FBE" w:rsidRDefault="00450FBE">
    <w:pPr>
      <w:pStyle w:val="En-tte"/>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9BD"/>
    <w:multiLevelType w:val="multilevel"/>
    <w:tmpl w:val="2C6A2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D140E"/>
    <w:multiLevelType w:val="multilevel"/>
    <w:tmpl w:val="229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66605"/>
    <w:multiLevelType w:val="multilevel"/>
    <w:tmpl w:val="4542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86699F"/>
    <w:multiLevelType w:val="multilevel"/>
    <w:tmpl w:val="B24A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2511D"/>
    <w:multiLevelType w:val="multilevel"/>
    <w:tmpl w:val="F76A1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45CA8"/>
    <w:multiLevelType w:val="multilevel"/>
    <w:tmpl w:val="D96A6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C46E1"/>
    <w:multiLevelType w:val="multilevel"/>
    <w:tmpl w:val="B3F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12B3C"/>
    <w:multiLevelType w:val="multilevel"/>
    <w:tmpl w:val="948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06399"/>
    <w:multiLevelType w:val="multilevel"/>
    <w:tmpl w:val="875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CA430A"/>
    <w:multiLevelType w:val="multilevel"/>
    <w:tmpl w:val="47D8A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260D96"/>
    <w:multiLevelType w:val="multilevel"/>
    <w:tmpl w:val="EB605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97285"/>
    <w:multiLevelType w:val="multilevel"/>
    <w:tmpl w:val="67E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B96772"/>
    <w:multiLevelType w:val="multilevel"/>
    <w:tmpl w:val="955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8141D"/>
    <w:multiLevelType w:val="multilevel"/>
    <w:tmpl w:val="C33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E354B"/>
    <w:multiLevelType w:val="multilevel"/>
    <w:tmpl w:val="4850B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A32AFC"/>
    <w:multiLevelType w:val="multilevel"/>
    <w:tmpl w:val="948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645F63"/>
    <w:multiLevelType w:val="multilevel"/>
    <w:tmpl w:val="69E27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34409"/>
    <w:multiLevelType w:val="multilevel"/>
    <w:tmpl w:val="B956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DF6D1F"/>
    <w:multiLevelType w:val="multilevel"/>
    <w:tmpl w:val="2ACE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BD7E49"/>
    <w:multiLevelType w:val="multilevel"/>
    <w:tmpl w:val="124E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E40A92"/>
    <w:multiLevelType w:val="multilevel"/>
    <w:tmpl w:val="72E06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36E2A"/>
    <w:multiLevelType w:val="multilevel"/>
    <w:tmpl w:val="1354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C557FC"/>
    <w:multiLevelType w:val="multilevel"/>
    <w:tmpl w:val="483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FB32F8"/>
    <w:multiLevelType w:val="multilevel"/>
    <w:tmpl w:val="395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87FB5"/>
    <w:multiLevelType w:val="multilevel"/>
    <w:tmpl w:val="11CC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6B6147"/>
    <w:multiLevelType w:val="multilevel"/>
    <w:tmpl w:val="3CA6F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5D0AA2"/>
    <w:multiLevelType w:val="multilevel"/>
    <w:tmpl w:val="12023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965ABE"/>
    <w:multiLevelType w:val="multilevel"/>
    <w:tmpl w:val="DE7CB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7C06D3"/>
    <w:multiLevelType w:val="multilevel"/>
    <w:tmpl w:val="103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1B4CF8"/>
    <w:multiLevelType w:val="multilevel"/>
    <w:tmpl w:val="268A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FF029A"/>
    <w:multiLevelType w:val="multilevel"/>
    <w:tmpl w:val="F010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9214D"/>
    <w:multiLevelType w:val="multilevel"/>
    <w:tmpl w:val="A1B42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C75F5F"/>
    <w:multiLevelType w:val="multilevel"/>
    <w:tmpl w:val="38405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4666F3"/>
    <w:multiLevelType w:val="multilevel"/>
    <w:tmpl w:val="6A6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24"/>
  </w:num>
  <w:num w:numId="4">
    <w:abstractNumId w:val="0"/>
  </w:num>
  <w:num w:numId="5">
    <w:abstractNumId w:val="16"/>
  </w:num>
  <w:num w:numId="6">
    <w:abstractNumId w:val="18"/>
  </w:num>
  <w:num w:numId="7">
    <w:abstractNumId w:val="10"/>
  </w:num>
  <w:num w:numId="8">
    <w:abstractNumId w:val="25"/>
  </w:num>
  <w:num w:numId="9">
    <w:abstractNumId w:val="6"/>
  </w:num>
  <w:num w:numId="10">
    <w:abstractNumId w:val="28"/>
  </w:num>
  <w:num w:numId="11">
    <w:abstractNumId w:val="7"/>
  </w:num>
  <w:num w:numId="12">
    <w:abstractNumId w:val="9"/>
  </w:num>
  <w:num w:numId="13">
    <w:abstractNumId w:val="17"/>
  </w:num>
  <w:num w:numId="14">
    <w:abstractNumId w:val="5"/>
  </w:num>
  <w:num w:numId="15">
    <w:abstractNumId w:val="1"/>
  </w:num>
  <w:num w:numId="16">
    <w:abstractNumId w:val="26"/>
  </w:num>
  <w:num w:numId="17">
    <w:abstractNumId w:val="32"/>
  </w:num>
  <w:num w:numId="18">
    <w:abstractNumId w:val="27"/>
  </w:num>
  <w:num w:numId="19">
    <w:abstractNumId w:val="3"/>
  </w:num>
  <w:num w:numId="20">
    <w:abstractNumId w:val="2"/>
  </w:num>
  <w:num w:numId="21">
    <w:abstractNumId w:val="23"/>
  </w:num>
  <w:num w:numId="22">
    <w:abstractNumId w:val="33"/>
  </w:num>
  <w:num w:numId="23">
    <w:abstractNumId w:val="19"/>
  </w:num>
  <w:num w:numId="24">
    <w:abstractNumId w:val="11"/>
  </w:num>
  <w:num w:numId="25">
    <w:abstractNumId w:val="29"/>
  </w:num>
  <w:num w:numId="26">
    <w:abstractNumId w:val="22"/>
  </w:num>
  <w:num w:numId="27">
    <w:abstractNumId w:val="13"/>
  </w:num>
  <w:num w:numId="28">
    <w:abstractNumId w:val="12"/>
  </w:num>
  <w:num w:numId="29">
    <w:abstractNumId w:val="31"/>
  </w:num>
  <w:num w:numId="30">
    <w:abstractNumId w:val="4"/>
  </w:num>
  <w:num w:numId="31">
    <w:abstractNumId w:val="8"/>
  </w:num>
  <w:num w:numId="32">
    <w:abstractNumId w:val="15"/>
  </w:num>
  <w:num w:numId="33">
    <w:abstractNumId w:val="30"/>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E252E"/>
    <w:rsid w:val="00005D81"/>
    <w:rsid w:val="001B3F3C"/>
    <w:rsid w:val="00341680"/>
    <w:rsid w:val="00450FBE"/>
    <w:rsid w:val="00492278"/>
    <w:rsid w:val="004A21CF"/>
    <w:rsid w:val="006635D9"/>
    <w:rsid w:val="006D057A"/>
    <w:rsid w:val="007B0951"/>
    <w:rsid w:val="008006A7"/>
    <w:rsid w:val="00876901"/>
    <w:rsid w:val="0091653A"/>
    <w:rsid w:val="0096356A"/>
    <w:rsid w:val="0099239C"/>
    <w:rsid w:val="009B2E81"/>
    <w:rsid w:val="00A37CD3"/>
    <w:rsid w:val="00AC5C9D"/>
    <w:rsid w:val="00B10A1A"/>
    <w:rsid w:val="00B50D0F"/>
    <w:rsid w:val="00C014E5"/>
    <w:rsid w:val="00C47947"/>
    <w:rsid w:val="00D05DBB"/>
    <w:rsid w:val="00DA35BE"/>
    <w:rsid w:val="00DE252E"/>
    <w:rsid w:val="00F101DD"/>
    <w:rsid w:val="00F974DB"/>
    <w:rsid w:val="00FF29BB"/>
    <w:rsid w:val="00FF3B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52E"/>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paragraph" w:styleId="Titre2">
    <w:name w:val="heading 2"/>
    <w:basedOn w:val="Normal"/>
    <w:next w:val="Normal"/>
    <w:link w:val="Titre2Car"/>
    <w:uiPriority w:val="9"/>
    <w:semiHidden/>
    <w:unhideWhenUsed/>
    <w:qFormat/>
    <w:rsid w:val="00C014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b/>
      <w:bCs/>
      <w:sz w:val="27"/>
      <w:szCs w:val="27"/>
    </w:rPr>
  </w:style>
  <w:style w:type="paragraph" w:styleId="Titre4">
    <w:name w:val="heading 4"/>
    <w:basedOn w:val="Normal"/>
    <w:next w:val="Normal"/>
    <w:link w:val="Titre4Car"/>
    <w:uiPriority w:val="9"/>
    <w:semiHidden/>
    <w:unhideWhenUsed/>
    <w:qFormat/>
    <w:rsid w:val="001B3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E252E"/>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DE252E"/>
    <w:rPr>
      <w:rFonts w:ascii="Tahoma"/>
      <w:sz w:val="16"/>
    </w:rPr>
  </w:style>
  <w:style w:type="paragraph" w:customStyle="1" w:styleId="Header">
    <w:name w:val="Header"/>
    <w:basedOn w:val="Normal"/>
    <w:link w:val="En-tteCar"/>
    <w:uiPriority w:val="99"/>
    <w:semiHidden/>
    <w:rsid w:val="00DE252E"/>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DE252E"/>
  </w:style>
  <w:style w:type="paragraph" w:customStyle="1" w:styleId="Footer">
    <w:name w:val="Footer"/>
    <w:basedOn w:val="Normal"/>
    <w:link w:val="PieddepageCar"/>
    <w:uiPriority w:val="99"/>
    <w:semiHidden/>
    <w:rsid w:val="00DE252E"/>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DE252E"/>
  </w:style>
  <w:style w:type="character" w:customStyle="1" w:styleId="Heading7Char">
    <w:name w:val="Heading 7 Char"/>
    <w:basedOn w:val="Policepardfaut"/>
    <w:link w:val="Heading7"/>
    <w:uiPriority w:val="9"/>
    <w:rsid w:val="00DE252E"/>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DE252E"/>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DE252E"/>
    <w:rPr>
      <w:i/>
      <w:color w:val="000000"/>
    </w:rPr>
  </w:style>
  <w:style w:type="paragraph" w:styleId="Textebrut">
    <w:name w:val="Plain Text"/>
    <w:basedOn w:val="Normal"/>
    <w:link w:val="TextebrutCar"/>
    <w:uiPriority w:val="99"/>
    <w:semiHidden/>
    <w:unhideWhenUsed/>
    <w:rsid w:val="00DE252E"/>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DE252E"/>
    <w:pPr>
      <w:spacing w:after="0" w:line="240" w:lineRule="auto"/>
    </w:pPr>
    <w:rPr>
      <w:sz w:val="20"/>
    </w:rPr>
  </w:style>
  <w:style w:type="paragraph" w:styleId="Citation">
    <w:name w:val="Quote"/>
    <w:basedOn w:val="Normal"/>
    <w:next w:val="Normal"/>
    <w:link w:val="CitationCar"/>
    <w:uiPriority w:val="29"/>
    <w:qFormat/>
    <w:rsid w:val="00DE252E"/>
    <w:rPr>
      <w:i/>
      <w:color w:val="000000"/>
    </w:rPr>
  </w:style>
  <w:style w:type="character" w:customStyle="1" w:styleId="Footnotereference">
    <w:name w:val="Footnote reference"/>
    <w:basedOn w:val="Policepardfaut"/>
    <w:uiPriority w:val="99"/>
    <w:semiHidden/>
    <w:unhideWhenUsed/>
    <w:rsid w:val="00DE252E"/>
    <w:rPr>
      <w:vertAlign w:val="superscript"/>
    </w:rPr>
  </w:style>
  <w:style w:type="character" w:customStyle="1" w:styleId="Heading1Char">
    <w:name w:val="Heading 1 Char"/>
    <w:basedOn w:val="Policepardfaut"/>
    <w:link w:val="Heading1"/>
    <w:uiPriority w:val="9"/>
    <w:rsid w:val="00DE252E"/>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DE252E"/>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DE252E"/>
    <w:rPr>
      <w:sz w:val="20"/>
    </w:rPr>
  </w:style>
  <w:style w:type="character" w:customStyle="1" w:styleId="Heading3Char">
    <w:name w:val="Heading 3 Char"/>
    <w:basedOn w:val="Policepardfaut"/>
    <w:link w:val="Heading3"/>
    <w:uiPriority w:val="9"/>
    <w:rsid w:val="00DE252E"/>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DE252E"/>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DE252E"/>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DE252E"/>
    <w:rPr>
      <w:b/>
    </w:rPr>
  </w:style>
  <w:style w:type="character" w:customStyle="1" w:styleId="Endnotereference">
    <w:name w:val="Endnote reference"/>
    <w:basedOn w:val="Policepardfaut"/>
    <w:uiPriority w:val="99"/>
    <w:semiHidden/>
    <w:unhideWhenUsed/>
    <w:rsid w:val="00DE252E"/>
    <w:rPr>
      <w:vertAlign w:val="superscript"/>
    </w:rPr>
  </w:style>
  <w:style w:type="paragraph" w:customStyle="1" w:styleId="Endnotetext">
    <w:name w:val="Endnote text"/>
    <w:basedOn w:val="Normal"/>
    <w:link w:val="EndnoteTextChar"/>
    <w:uiPriority w:val="99"/>
    <w:semiHidden/>
    <w:unhideWhenUsed/>
    <w:rsid w:val="00DE252E"/>
    <w:pPr>
      <w:spacing w:after="0" w:line="240" w:lineRule="auto"/>
    </w:pPr>
    <w:rPr>
      <w:sz w:val="20"/>
    </w:rPr>
  </w:style>
  <w:style w:type="character" w:styleId="Rfrenceple">
    <w:name w:val="Subtle Reference"/>
    <w:basedOn w:val="Policepardfaut"/>
    <w:uiPriority w:val="31"/>
    <w:qFormat/>
    <w:rsid w:val="00DE252E"/>
    <w:rPr>
      <w:smallCaps/>
      <w:color w:val="C0504D"/>
      <w:u w:val="single"/>
    </w:rPr>
  </w:style>
  <w:style w:type="paragraph" w:customStyle="1" w:styleId="Heading6">
    <w:name w:val="Heading 6"/>
    <w:basedOn w:val="Normal"/>
    <w:next w:val="Normal"/>
    <w:link w:val="Heading6Char"/>
    <w:uiPriority w:val="9"/>
    <w:semiHidden/>
    <w:unhideWhenUsed/>
    <w:qFormat/>
    <w:rsid w:val="00DE252E"/>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DE252E"/>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DE252E"/>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DE252E"/>
    <w:pPr>
      <w:ind w:left="720"/>
      <w:contextualSpacing/>
    </w:pPr>
  </w:style>
  <w:style w:type="character" w:customStyle="1" w:styleId="Heading9Char">
    <w:name w:val="Heading 9 Char"/>
    <w:basedOn w:val="Policepardfaut"/>
    <w:link w:val="Heading9"/>
    <w:uiPriority w:val="9"/>
    <w:rsid w:val="00DE252E"/>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DE252E"/>
    <w:rPr>
      <w:b/>
      <w:i/>
      <w:color w:val="4F81BD"/>
    </w:rPr>
  </w:style>
  <w:style w:type="paragraph" w:customStyle="1" w:styleId="Heading4">
    <w:name w:val="Heading 4"/>
    <w:basedOn w:val="Normal"/>
    <w:next w:val="Normal"/>
    <w:link w:val="Heading4Char"/>
    <w:uiPriority w:val="9"/>
    <w:semiHidden/>
    <w:unhideWhenUsed/>
    <w:qFormat/>
    <w:rsid w:val="00DE252E"/>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DE252E"/>
    <w:rPr>
      <w:sz w:val="20"/>
    </w:rPr>
  </w:style>
  <w:style w:type="character" w:customStyle="1" w:styleId="CitationintenseCar">
    <w:name w:val="Citation intense Car"/>
    <w:basedOn w:val="Policepardfaut"/>
    <w:link w:val="Citationintense"/>
    <w:uiPriority w:val="30"/>
    <w:rsid w:val="00DE252E"/>
    <w:rPr>
      <w:b/>
      <w:i/>
      <w:color w:val="4F81BD"/>
    </w:rPr>
  </w:style>
  <w:style w:type="character" w:styleId="Lienhypertexte">
    <w:name w:val="Hyperlink"/>
    <w:basedOn w:val="Policepardfaut"/>
    <w:uiPriority w:val="99"/>
    <w:unhideWhenUsed/>
    <w:rsid w:val="00DE252E"/>
    <w:rPr>
      <w:color w:val="0000FF"/>
      <w:u w:val="single"/>
    </w:rPr>
  </w:style>
  <w:style w:type="paragraph" w:customStyle="1" w:styleId="Heading7">
    <w:name w:val="Heading 7"/>
    <w:basedOn w:val="Normal"/>
    <w:next w:val="Normal"/>
    <w:link w:val="Heading7Char"/>
    <w:uiPriority w:val="9"/>
    <w:semiHidden/>
    <w:unhideWhenUsed/>
    <w:qFormat/>
    <w:rsid w:val="00DE252E"/>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DE252E"/>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DE252E"/>
    <w:rPr>
      <w:rFonts w:asciiTheme="majorHAnsi" w:eastAsiaTheme="majorEastAsia" w:hAnsiTheme="majorHAnsi" w:cstheme="majorBidi"/>
      <w:i/>
      <w:color w:val="243F60"/>
    </w:rPr>
  </w:style>
  <w:style w:type="character" w:styleId="Rfrenceintense">
    <w:name w:val="Intense Reference"/>
    <w:basedOn w:val="Policepardfaut"/>
    <w:uiPriority w:val="32"/>
    <w:qFormat/>
    <w:rsid w:val="00DE252E"/>
    <w:rPr>
      <w:b/>
      <w:smallCaps/>
      <w:color w:val="C0504D"/>
      <w:spacing w:val="5"/>
      <w:u w:val="single"/>
    </w:rPr>
  </w:style>
  <w:style w:type="paragraph" w:customStyle="1" w:styleId="Heading5">
    <w:name w:val="Heading 5"/>
    <w:basedOn w:val="Normal"/>
    <w:next w:val="Normal"/>
    <w:link w:val="Heading5Char"/>
    <w:uiPriority w:val="9"/>
    <w:semiHidden/>
    <w:unhideWhenUsed/>
    <w:qFormat/>
    <w:rsid w:val="00DE252E"/>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DE252E"/>
  </w:style>
  <w:style w:type="paragraph" w:customStyle="1" w:styleId="Heading1">
    <w:name w:val="Heading 1"/>
    <w:basedOn w:val="Normal"/>
    <w:next w:val="Normal"/>
    <w:link w:val="Heading1Char"/>
    <w:uiPriority w:val="9"/>
    <w:qFormat/>
    <w:rsid w:val="00DE252E"/>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DE252E"/>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DE252E"/>
    <w:rPr>
      <w:i/>
    </w:rPr>
  </w:style>
  <w:style w:type="character" w:styleId="Titredulivre">
    <w:name w:val="Book Title"/>
    <w:basedOn w:val="Policepardfaut"/>
    <w:uiPriority w:val="33"/>
    <w:qFormat/>
    <w:rsid w:val="00DE252E"/>
    <w:rPr>
      <w:b/>
      <w:smallCaps/>
      <w:spacing w:val="5"/>
    </w:rPr>
  </w:style>
  <w:style w:type="paragraph" w:styleId="Titre">
    <w:name w:val="Title"/>
    <w:basedOn w:val="Normal"/>
    <w:next w:val="Normal"/>
    <w:link w:val="TitreCar"/>
    <w:uiPriority w:val="10"/>
    <w:qFormat/>
    <w:rsid w:val="00DE252E"/>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DE252E"/>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DE252E"/>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DE252E"/>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DE252E"/>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DE252E"/>
    <w:rPr>
      <w:rFonts w:ascii="Courier New" w:hAnsi="Courier New" w:cs="Courier New"/>
      <w:sz w:val="21"/>
    </w:rPr>
  </w:style>
  <w:style w:type="character" w:styleId="Emphaseple">
    <w:name w:val="Subtle Emphasis"/>
    <w:basedOn w:val="Policepardfaut"/>
    <w:uiPriority w:val="19"/>
    <w:qFormat/>
    <w:rsid w:val="00DE252E"/>
    <w:rPr>
      <w:i/>
      <w:color w:val="808080"/>
    </w:rPr>
  </w:style>
  <w:style w:type="character" w:customStyle="1" w:styleId="Titre3Car">
    <w:name w:val="Titre 3 Car"/>
    <w:basedOn w:val="Policepardfaut"/>
    <w:link w:val="Titre3"/>
    <w:uiPriority w:val="9"/>
    <w:rsid w:val="00C014E5"/>
    <w:rPr>
      <w:b/>
      <w:bCs/>
      <w:sz w:val="27"/>
      <w:szCs w:val="27"/>
    </w:rPr>
  </w:style>
  <w:style w:type="paragraph" w:styleId="NormalWeb">
    <w:name w:val="Normal (Web)"/>
    <w:basedOn w:val="Normal"/>
    <w:uiPriority w:val="99"/>
    <w:unhideWhenUsed/>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sz w:val="24"/>
      <w:szCs w:val="24"/>
    </w:rPr>
  </w:style>
  <w:style w:type="character" w:customStyle="1" w:styleId="Titre2Car">
    <w:name w:val="Titre 2 Car"/>
    <w:basedOn w:val="Policepardfaut"/>
    <w:link w:val="Titre2"/>
    <w:uiPriority w:val="9"/>
    <w:semiHidden/>
    <w:rsid w:val="00C014E5"/>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1B3F3C"/>
    <w:rPr>
      <w:rFonts w:asciiTheme="majorHAnsi" w:eastAsiaTheme="majorEastAsia" w:hAnsiTheme="majorHAnsi" w:cstheme="majorBidi"/>
      <w:b/>
      <w:bCs/>
      <w:i/>
      <w:iCs/>
      <w:color w:val="4F81BD" w:themeColor="accent1"/>
      <w:sz w:val="22"/>
    </w:rPr>
  </w:style>
  <w:style w:type="paragraph" w:styleId="En-tte">
    <w:name w:val="header"/>
    <w:basedOn w:val="Normal"/>
    <w:link w:val="En-tteCar1"/>
    <w:uiPriority w:val="99"/>
    <w:semiHidden/>
    <w:unhideWhenUsed/>
    <w:rsid w:val="00450FBE"/>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450FBE"/>
    <w:rPr>
      <w:rFonts w:ascii="Calibri"/>
      <w:sz w:val="22"/>
    </w:rPr>
  </w:style>
  <w:style w:type="paragraph" w:styleId="Pieddepage">
    <w:name w:val="footer"/>
    <w:basedOn w:val="Normal"/>
    <w:link w:val="PieddepageCar1"/>
    <w:uiPriority w:val="99"/>
    <w:semiHidden/>
    <w:unhideWhenUsed/>
    <w:rsid w:val="00450FBE"/>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450FBE"/>
    <w:rPr>
      <w:rFonts w:ascii="Calibri"/>
      <w:sz w:val="22"/>
    </w:rPr>
  </w:style>
  <w:style w:type="character" w:customStyle="1" w:styleId="overflow-hidden">
    <w:name w:val="overflow-hidden"/>
    <w:basedOn w:val="Policepardfaut"/>
    <w:rsid w:val="00F974DB"/>
  </w:style>
</w:styles>
</file>

<file path=word/webSettings.xml><?xml version="1.0" encoding="utf-8"?>
<w:webSettings xmlns:r="http://schemas.openxmlformats.org/officeDocument/2006/relationships" xmlns:w="http://schemas.openxmlformats.org/wordprocessingml/2006/main">
  <w:divs>
    <w:div w:id="185296556">
      <w:bodyDiv w:val="1"/>
      <w:marLeft w:val="0"/>
      <w:marRight w:val="0"/>
      <w:marTop w:val="0"/>
      <w:marBottom w:val="0"/>
      <w:divBdr>
        <w:top w:val="none" w:sz="0" w:space="0" w:color="auto"/>
        <w:left w:val="none" w:sz="0" w:space="0" w:color="auto"/>
        <w:bottom w:val="none" w:sz="0" w:space="0" w:color="auto"/>
        <w:right w:val="none" w:sz="0" w:space="0" w:color="auto"/>
      </w:divBdr>
    </w:div>
    <w:div w:id="281116530">
      <w:bodyDiv w:val="1"/>
      <w:marLeft w:val="0"/>
      <w:marRight w:val="0"/>
      <w:marTop w:val="0"/>
      <w:marBottom w:val="0"/>
      <w:divBdr>
        <w:top w:val="none" w:sz="0" w:space="0" w:color="auto"/>
        <w:left w:val="none" w:sz="0" w:space="0" w:color="auto"/>
        <w:bottom w:val="none" w:sz="0" w:space="0" w:color="auto"/>
        <w:right w:val="none" w:sz="0" w:space="0" w:color="auto"/>
      </w:divBdr>
    </w:div>
    <w:div w:id="339822828">
      <w:bodyDiv w:val="1"/>
      <w:marLeft w:val="0"/>
      <w:marRight w:val="0"/>
      <w:marTop w:val="0"/>
      <w:marBottom w:val="0"/>
      <w:divBdr>
        <w:top w:val="none" w:sz="0" w:space="0" w:color="auto"/>
        <w:left w:val="none" w:sz="0" w:space="0" w:color="auto"/>
        <w:bottom w:val="none" w:sz="0" w:space="0" w:color="auto"/>
        <w:right w:val="none" w:sz="0" w:space="0" w:color="auto"/>
      </w:divBdr>
    </w:div>
    <w:div w:id="520556603">
      <w:bodyDiv w:val="1"/>
      <w:marLeft w:val="0"/>
      <w:marRight w:val="0"/>
      <w:marTop w:val="0"/>
      <w:marBottom w:val="0"/>
      <w:divBdr>
        <w:top w:val="none" w:sz="0" w:space="0" w:color="auto"/>
        <w:left w:val="none" w:sz="0" w:space="0" w:color="auto"/>
        <w:bottom w:val="none" w:sz="0" w:space="0" w:color="auto"/>
        <w:right w:val="none" w:sz="0" w:space="0" w:color="auto"/>
      </w:divBdr>
    </w:div>
    <w:div w:id="559828994">
      <w:bodyDiv w:val="1"/>
      <w:marLeft w:val="0"/>
      <w:marRight w:val="0"/>
      <w:marTop w:val="0"/>
      <w:marBottom w:val="0"/>
      <w:divBdr>
        <w:top w:val="none" w:sz="0" w:space="0" w:color="auto"/>
        <w:left w:val="none" w:sz="0" w:space="0" w:color="auto"/>
        <w:bottom w:val="none" w:sz="0" w:space="0" w:color="auto"/>
        <w:right w:val="none" w:sz="0" w:space="0" w:color="auto"/>
      </w:divBdr>
    </w:div>
    <w:div w:id="1070078516">
      <w:bodyDiv w:val="1"/>
      <w:marLeft w:val="0"/>
      <w:marRight w:val="0"/>
      <w:marTop w:val="0"/>
      <w:marBottom w:val="0"/>
      <w:divBdr>
        <w:top w:val="none" w:sz="0" w:space="0" w:color="auto"/>
        <w:left w:val="none" w:sz="0" w:space="0" w:color="auto"/>
        <w:bottom w:val="none" w:sz="0" w:space="0" w:color="auto"/>
        <w:right w:val="none" w:sz="0" w:space="0" w:color="auto"/>
      </w:divBdr>
    </w:div>
    <w:div w:id="1132166014">
      <w:bodyDiv w:val="1"/>
      <w:marLeft w:val="0"/>
      <w:marRight w:val="0"/>
      <w:marTop w:val="0"/>
      <w:marBottom w:val="0"/>
      <w:divBdr>
        <w:top w:val="none" w:sz="0" w:space="0" w:color="auto"/>
        <w:left w:val="none" w:sz="0" w:space="0" w:color="auto"/>
        <w:bottom w:val="none" w:sz="0" w:space="0" w:color="auto"/>
        <w:right w:val="none" w:sz="0" w:space="0" w:color="auto"/>
      </w:divBdr>
    </w:div>
    <w:div w:id="1190601985">
      <w:bodyDiv w:val="1"/>
      <w:marLeft w:val="0"/>
      <w:marRight w:val="0"/>
      <w:marTop w:val="0"/>
      <w:marBottom w:val="0"/>
      <w:divBdr>
        <w:top w:val="none" w:sz="0" w:space="0" w:color="auto"/>
        <w:left w:val="none" w:sz="0" w:space="0" w:color="auto"/>
        <w:bottom w:val="none" w:sz="0" w:space="0" w:color="auto"/>
        <w:right w:val="none" w:sz="0" w:space="0" w:color="auto"/>
      </w:divBdr>
    </w:div>
    <w:div w:id="1516726495">
      <w:bodyDiv w:val="1"/>
      <w:marLeft w:val="0"/>
      <w:marRight w:val="0"/>
      <w:marTop w:val="0"/>
      <w:marBottom w:val="0"/>
      <w:divBdr>
        <w:top w:val="none" w:sz="0" w:space="0" w:color="auto"/>
        <w:left w:val="none" w:sz="0" w:space="0" w:color="auto"/>
        <w:bottom w:val="none" w:sz="0" w:space="0" w:color="auto"/>
        <w:right w:val="none" w:sz="0" w:space="0" w:color="auto"/>
      </w:divBdr>
    </w:div>
    <w:div w:id="1571425454">
      <w:bodyDiv w:val="1"/>
      <w:marLeft w:val="0"/>
      <w:marRight w:val="0"/>
      <w:marTop w:val="0"/>
      <w:marBottom w:val="0"/>
      <w:divBdr>
        <w:top w:val="none" w:sz="0" w:space="0" w:color="auto"/>
        <w:left w:val="none" w:sz="0" w:space="0" w:color="auto"/>
        <w:bottom w:val="none" w:sz="0" w:space="0" w:color="auto"/>
        <w:right w:val="none" w:sz="0" w:space="0" w:color="auto"/>
      </w:divBdr>
    </w:div>
    <w:div w:id="1623851818">
      <w:bodyDiv w:val="1"/>
      <w:marLeft w:val="0"/>
      <w:marRight w:val="0"/>
      <w:marTop w:val="0"/>
      <w:marBottom w:val="0"/>
      <w:divBdr>
        <w:top w:val="none" w:sz="0" w:space="0" w:color="auto"/>
        <w:left w:val="none" w:sz="0" w:space="0" w:color="auto"/>
        <w:bottom w:val="none" w:sz="0" w:space="0" w:color="auto"/>
        <w:right w:val="none" w:sz="0" w:space="0" w:color="auto"/>
      </w:divBdr>
      <w:divsChild>
        <w:div w:id="1934508188">
          <w:marLeft w:val="0"/>
          <w:marRight w:val="0"/>
          <w:marTop w:val="0"/>
          <w:marBottom w:val="0"/>
          <w:divBdr>
            <w:top w:val="none" w:sz="0" w:space="0" w:color="auto"/>
            <w:left w:val="none" w:sz="0" w:space="0" w:color="auto"/>
            <w:bottom w:val="none" w:sz="0" w:space="0" w:color="auto"/>
            <w:right w:val="none" w:sz="0" w:space="0" w:color="auto"/>
          </w:divBdr>
          <w:divsChild>
            <w:div w:id="820345531">
              <w:marLeft w:val="0"/>
              <w:marRight w:val="0"/>
              <w:marTop w:val="0"/>
              <w:marBottom w:val="0"/>
              <w:divBdr>
                <w:top w:val="none" w:sz="0" w:space="0" w:color="auto"/>
                <w:left w:val="none" w:sz="0" w:space="0" w:color="auto"/>
                <w:bottom w:val="none" w:sz="0" w:space="0" w:color="auto"/>
                <w:right w:val="none" w:sz="0" w:space="0" w:color="auto"/>
              </w:divBdr>
              <w:divsChild>
                <w:div w:id="1098521543">
                  <w:marLeft w:val="0"/>
                  <w:marRight w:val="0"/>
                  <w:marTop w:val="0"/>
                  <w:marBottom w:val="0"/>
                  <w:divBdr>
                    <w:top w:val="none" w:sz="0" w:space="0" w:color="auto"/>
                    <w:left w:val="none" w:sz="0" w:space="0" w:color="auto"/>
                    <w:bottom w:val="none" w:sz="0" w:space="0" w:color="auto"/>
                    <w:right w:val="none" w:sz="0" w:space="0" w:color="auto"/>
                  </w:divBdr>
                  <w:divsChild>
                    <w:div w:id="777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4656">
          <w:marLeft w:val="0"/>
          <w:marRight w:val="0"/>
          <w:marTop w:val="0"/>
          <w:marBottom w:val="0"/>
          <w:divBdr>
            <w:top w:val="none" w:sz="0" w:space="0" w:color="auto"/>
            <w:left w:val="none" w:sz="0" w:space="0" w:color="auto"/>
            <w:bottom w:val="none" w:sz="0" w:space="0" w:color="auto"/>
            <w:right w:val="none" w:sz="0" w:space="0" w:color="auto"/>
          </w:divBdr>
          <w:divsChild>
            <w:div w:id="202985635">
              <w:marLeft w:val="0"/>
              <w:marRight w:val="0"/>
              <w:marTop w:val="0"/>
              <w:marBottom w:val="0"/>
              <w:divBdr>
                <w:top w:val="none" w:sz="0" w:space="0" w:color="auto"/>
                <w:left w:val="none" w:sz="0" w:space="0" w:color="auto"/>
                <w:bottom w:val="none" w:sz="0" w:space="0" w:color="auto"/>
                <w:right w:val="none" w:sz="0" w:space="0" w:color="auto"/>
              </w:divBdr>
              <w:divsChild>
                <w:div w:id="210266383">
                  <w:marLeft w:val="0"/>
                  <w:marRight w:val="0"/>
                  <w:marTop w:val="0"/>
                  <w:marBottom w:val="0"/>
                  <w:divBdr>
                    <w:top w:val="none" w:sz="0" w:space="0" w:color="auto"/>
                    <w:left w:val="none" w:sz="0" w:space="0" w:color="auto"/>
                    <w:bottom w:val="none" w:sz="0" w:space="0" w:color="auto"/>
                    <w:right w:val="none" w:sz="0" w:space="0" w:color="auto"/>
                  </w:divBdr>
                  <w:divsChild>
                    <w:div w:id="966276287">
                      <w:marLeft w:val="0"/>
                      <w:marRight w:val="0"/>
                      <w:marTop w:val="0"/>
                      <w:marBottom w:val="0"/>
                      <w:divBdr>
                        <w:top w:val="none" w:sz="0" w:space="0" w:color="auto"/>
                        <w:left w:val="none" w:sz="0" w:space="0" w:color="auto"/>
                        <w:bottom w:val="none" w:sz="0" w:space="0" w:color="auto"/>
                        <w:right w:val="none" w:sz="0" w:space="0" w:color="auto"/>
                      </w:divBdr>
                      <w:divsChild>
                        <w:div w:id="76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83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A1DC-5597-4D5E-95D7-FF4CE3C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2117</Words>
  <Characters>11649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amazingsouma</dc:creator>
  <cp:lastModifiedBy>pc</cp:lastModifiedBy>
  <cp:revision>6</cp:revision>
  <dcterms:created xsi:type="dcterms:W3CDTF">2025-03-08T13:50:00Z</dcterms:created>
  <dcterms:modified xsi:type="dcterms:W3CDTF">2025-03-15T09:01:00Z</dcterms:modified>
</cp:coreProperties>
</file>