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50F" w:rsidRPr="00C96B1B" w:rsidRDefault="0089450F" w:rsidP="0089450F">
      <w:pPr>
        <w:pStyle w:val="NormalWeb"/>
        <w:bidi/>
        <w:spacing w:before="0" w:beforeAutospacing="0" w:after="120" w:afterAutospacing="0" w:line="276" w:lineRule="auto"/>
        <w:jc w:val="lowKashida"/>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المحور العاشر : </w:t>
      </w:r>
      <w:r w:rsidRPr="00C96B1B">
        <w:rPr>
          <w:rFonts w:ascii="Simplified Arabic" w:hAnsi="Simplified Arabic" w:cs="Simplified Arabic"/>
          <w:b/>
          <w:bCs/>
          <w:sz w:val="32"/>
          <w:szCs w:val="32"/>
          <w:rtl/>
        </w:rPr>
        <w:t>مبادئ حساب القيمة الاقتصادية للزبون</w:t>
      </w:r>
    </w:p>
    <w:p w:rsidR="0089450F" w:rsidRPr="002F2F98"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val="fr-FR" w:bidi="ar-DZ"/>
        </w:rPr>
      </w:pPr>
      <w:r w:rsidRPr="00C96B1B">
        <w:rPr>
          <w:rFonts w:ascii="Simplified Arabic" w:hAnsi="Simplified Arabic" w:cs="Simplified Arabic"/>
          <w:sz w:val="32"/>
          <w:szCs w:val="32"/>
          <w:rtl/>
        </w:rPr>
        <w:t>تساعد معرفة قيمة الزبون في دورة حياته المؤسسة في حل عدد من المشاكل</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منها تحديد ميزانية الحصول عل</w:t>
      </w:r>
      <w:r>
        <w:rPr>
          <w:rFonts w:ascii="Simplified Arabic" w:hAnsi="Simplified Arabic" w:cs="Simplified Arabic" w:hint="cs"/>
          <w:sz w:val="32"/>
          <w:szCs w:val="32"/>
          <w:rtl/>
        </w:rPr>
        <w:t xml:space="preserve">ى </w:t>
      </w:r>
      <w:r w:rsidRPr="00C96B1B">
        <w:rPr>
          <w:rFonts w:ascii="Simplified Arabic" w:hAnsi="Simplified Arabic" w:cs="Simplified Arabic"/>
          <w:sz w:val="32"/>
          <w:szCs w:val="32"/>
          <w:rtl/>
        </w:rPr>
        <w:t>الزبون والاحتفاظ به واختيار الوسائط</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بحيث تختلف القيمة باختلاف الوسائط بشكل عام وتحديد العرض العام للمؤسسة مع الاعتماد عليها في بناء الميزة التنافسية الاستراتيجية للمؤسسة</w:t>
      </w:r>
      <w:sdt>
        <w:sdtPr>
          <w:rPr>
            <w:rFonts w:ascii="Simplified Arabic" w:hAnsi="Simplified Arabic" w:cs="Simplified Arabic" w:hint="cs"/>
            <w:sz w:val="32"/>
            <w:szCs w:val="32"/>
            <w:rtl/>
          </w:rPr>
          <w:id w:val="-759361206"/>
          <w:citation/>
        </w:sdtPr>
        <w:sdtContent>
          <w:r w:rsidRPr="002F2F98">
            <w:rPr>
              <w:rFonts w:asciiTheme="majorBidi" w:hAnsiTheme="majorBidi" w:cstheme="majorBidi"/>
              <w:sz w:val="28"/>
              <w:szCs w:val="28"/>
              <w:rtl/>
            </w:rPr>
            <w:fldChar w:fldCharType="begin"/>
          </w:r>
          <w:r w:rsidRPr="002F2F98">
            <w:rPr>
              <w:rFonts w:asciiTheme="majorBidi" w:hAnsiTheme="majorBidi" w:cstheme="majorBidi"/>
              <w:sz w:val="28"/>
              <w:szCs w:val="28"/>
              <w:lang w:val="fr-FR"/>
            </w:rPr>
            <w:instrText xml:space="preserve">CITATION Cal02 \p 206 \l 1036 </w:instrText>
          </w:r>
          <w:r w:rsidRPr="002F2F98">
            <w:rPr>
              <w:rFonts w:asciiTheme="majorBidi" w:hAnsiTheme="majorBidi" w:cstheme="majorBidi"/>
              <w:sz w:val="28"/>
              <w:szCs w:val="28"/>
              <w:rtl/>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Calciu M., et al., 2002 p. 206</w:t>
          </w:r>
          <w:r w:rsidRPr="00B734C8">
            <w:rPr>
              <w:rFonts w:asciiTheme="majorBidi" w:hAnsiTheme="majorBidi" w:cstheme="majorBidi"/>
              <w:noProof/>
              <w:sz w:val="28"/>
              <w:szCs w:val="28"/>
              <w:rtl/>
            </w:rPr>
            <w:t>)</w:t>
          </w:r>
          <w:r w:rsidRPr="002F2F98">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p>
    <w:p w:rsidR="0089450F" w:rsidRPr="0062695B"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val="fr-FR" w:bidi="ar-DZ"/>
        </w:rPr>
      </w:pPr>
      <w:r w:rsidRPr="009F07B0">
        <w:rPr>
          <w:rFonts w:ascii="Simplified Arabic" w:hAnsi="Simplified Arabic" w:cs="Simplified Arabic"/>
          <w:b/>
          <w:bCs/>
          <w:sz w:val="32"/>
          <w:szCs w:val="32"/>
          <w:rtl/>
        </w:rPr>
        <w:t>1</w:t>
      </w:r>
      <w:r w:rsidRPr="009F07B0">
        <w:rPr>
          <w:rFonts w:ascii="Simplified Arabic" w:hAnsi="Simplified Arabic" w:cs="Simplified Arabic" w:hint="cs"/>
          <w:b/>
          <w:bCs/>
          <w:sz w:val="32"/>
          <w:szCs w:val="32"/>
          <w:rtl/>
        </w:rPr>
        <w:t>-</w:t>
      </w:r>
      <w:r w:rsidRPr="009F07B0">
        <w:rPr>
          <w:rFonts w:ascii="Simplified Arabic" w:hAnsi="Simplified Arabic" w:cs="Simplified Arabic"/>
          <w:b/>
          <w:bCs/>
          <w:sz w:val="32"/>
          <w:szCs w:val="32"/>
          <w:rtl/>
        </w:rPr>
        <w:t>تعريف قيمة الزبون:</w:t>
      </w:r>
      <w:r w:rsidRPr="00C96B1B">
        <w:rPr>
          <w:rFonts w:ascii="Simplified Arabic" w:hAnsi="Simplified Arabic" w:cs="Simplified Arabic"/>
          <w:sz w:val="32"/>
          <w:szCs w:val="32"/>
          <w:rtl/>
        </w:rPr>
        <w:t xml:space="preserve"> القيمة هي أن تعطي للزبون المقابل الحقيق لما يدفعه</w:t>
      </w:r>
      <w:sdt>
        <w:sdtPr>
          <w:rPr>
            <w:rFonts w:ascii="Simplified Arabic" w:hAnsi="Simplified Arabic" w:cs="Simplified Arabic" w:hint="cs"/>
            <w:sz w:val="32"/>
            <w:szCs w:val="32"/>
            <w:rtl/>
            <w:lang w:bidi="ar-DZ"/>
          </w:rPr>
          <w:id w:val="-24869242"/>
          <w:citation/>
        </w:sdtPr>
        <w:sdtContent>
          <w:r w:rsidRPr="00351761">
            <w:rPr>
              <w:rFonts w:asciiTheme="majorBidi" w:hAnsiTheme="majorBidi" w:cstheme="majorBidi"/>
              <w:sz w:val="28"/>
              <w:szCs w:val="28"/>
              <w:rtl/>
              <w:lang w:bidi="ar-DZ"/>
            </w:rPr>
            <w:fldChar w:fldCharType="begin"/>
          </w:r>
          <w:r w:rsidRPr="00351761">
            <w:rPr>
              <w:rFonts w:asciiTheme="majorBidi" w:hAnsiTheme="majorBidi" w:cstheme="majorBidi"/>
              <w:sz w:val="28"/>
              <w:szCs w:val="28"/>
              <w:lang w:val="fr-FR" w:bidi="ar-DZ"/>
            </w:rPr>
            <w:instrText xml:space="preserve">CITATION Mah07 \p 50 \l 1036 </w:instrText>
          </w:r>
          <w:r w:rsidRPr="00351761">
            <w:rPr>
              <w:rFonts w:asciiTheme="majorBidi" w:hAnsiTheme="majorBidi" w:cstheme="majorBidi"/>
              <w:sz w:val="28"/>
              <w:szCs w:val="28"/>
              <w:rtl/>
              <w:lang w:bidi="ar-DZ"/>
            </w:rPr>
            <w:fldChar w:fldCharType="separate"/>
          </w:r>
          <w:r w:rsidRPr="00B734C8">
            <w:rPr>
              <w:rFonts w:asciiTheme="majorBidi" w:hAnsiTheme="majorBidi" w:cstheme="majorBidi"/>
              <w:noProof/>
              <w:sz w:val="28"/>
              <w:szCs w:val="28"/>
              <w:rtl/>
              <w:lang w:bidi="ar-DZ"/>
            </w:rPr>
            <w:t>(</w:t>
          </w:r>
          <w:r w:rsidRPr="00B734C8">
            <w:rPr>
              <w:rFonts w:asciiTheme="majorBidi" w:hAnsiTheme="majorBidi" w:cstheme="majorBidi"/>
              <w:noProof/>
              <w:sz w:val="28"/>
              <w:szCs w:val="28"/>
              <w:lang w:bidi="ar-DZ"/>
            </w:rPr>
            <w:t>Mahajan, 2007 p. 50</w:t>
          </w:r>
          <w:r w:rsidRPr="00B734C8">
            <w:rPr>
              <w:rFonts w:asciiTheme="majorBidi" w:hAnsiTheme="majorBidi" w:cstheme="majorBidi"/>
              <w:noProof/>
              <w:sz w:val="28"/>
              <w:szCs w:val="28"/>
              <w:rtl/>
              <w:lang w:bidi="ar-DZ"/>
            </w:rPr>
            <w:t>)</w:t>
          </w:r>
          <w:r w:rsidRPr="00351761">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فهي المقارنة بين المبلغ المنفق من قبل الزبون وكل ما يتحصل عليه من اقتنائه لهذا المنتج أو الخدمة. وهي هدف</w:t>
      </w:r>
      <w:r>
        <w:rPr>
          <w:rFonts w:ascii="Simplified Arabic" w:hAnsi="Simplified Arabic" w:cs="Simplified Arabic" w:hint="cs"/>
          <w:sz w:val="32"/>
          <w:szCs w:val="32"/>
          <w:rtl/>
        </w:rPr>
        <w:t xml:space="preserve"> مهم</w:t>
      </w:r>
      <w:r w:rsidRPr="00C96B1B">
        <w:rPr>
          <w:rFonts w:ascii="Simplified Arabic" w:hAnsi="Simplified Arabic" w:cs="Simplified Arabic"/>
          <w:sz w:val="32"/>
          <w:szCs w:val="32"/>
          <w:rtl/>
        </w:rPr>
        <w:t xml:space="preserve"> بالنسبة للمؤسسة من منظور تحقيق الأرباح كذلك. ولها تأثير واضح على معالم الاستراتيجية التسويقية يظهر على مستوى الجودة والحصة السوقية، والربحية. وتدرس قيمة الزبون على مستوى العلاقة بين توجه المؤسسة والأداء المحقق من تحليل التكلفةوجذب الزبون وتقليل تكلفة الاحتفاظ بالزبون</w:t>
      </w:r>
      <w:sdt>
        <w:sdtPr>
          <w:rPr>
            <w:rFonts w:ascii="Simplified Arabic" w:hAnsi="Simplified Arabic" w:cs="Simplified Arabic" w:hint="cs"/>
            <w:sz w:val="32"/>
            <w:szCs w:val="32"/>
            <w:rtl/>
          </w:rPr>
          <w:id w:val="-1361814447"/>
          <w:citation/>
        </w:sdtPr>
        <w:sdtContent>
          <w:r w:rsidRPr="0062695B">
            <w:rPr>
              <w:rFonts w:asciiTheme="majorBidi" w:hAnsiTheme="majorBidi" w:cstheme="majorBidi"/>
              <w:sz w:val="28"/>
              <w:szCs w:val="28"/>
              <w:rtl/>
            </w:rPr>
            <w:fldChar w:fldCharType="begin"/>
          </w:r>
          <w:r w:rsidRPr="0062695B">
            <w:rPr>
              <w:rFonts w:asciiTheme="majorBidi" w:hAnsiTheme="majorBidi" w:cstheme="majorBidi"/>
              <w:sz w:val="28"/>
              <w:szCs w:val="28"/>
              <w:lang w:val="fr-FR" w:bidi="ar-DZ"/>
            </w:rPr>
            <w:instrText xml:space="preserve">CITATION Her \p 44 \l 1036 </w:instrText>
          </w:r>
          <w:r w:rsidRPr="0062695B">
            <w:rPr>
              <w:rFonts w:asciiTheme="majorBidi" w:hAnsiTheme="majorBidi" w:cstheme="majorBidi"/>
              <w:sz w:val="28"/>
              <w:szCs w:val="28"/>
              <w:rtl/>
            </w:rPr>
            <w:fldChar w:fldCharType="separate"/>
          </w:r>
          <w:r w:rsidRPr="00B734C8">
            <w:rPr>
              <w:rFonts w:asciiTheme="majorBidi" w:hAnsiTheme="majorBidi" w:cstheme="majorBidi"/>
              <w:noProof/>
              <w:sz w:val="28"/>
              <w:szCs w:val="28"/>
              <w:rtl/>
            </w:rPr>
            <w:t>(</w:t>
          </w:r>
          <w:r w:rsidRPr="00B734C8">
            <w:rPr>
              <w:rFonts w:asciiTheme="majorBidi" w:hAnsiTheme="majorBidi" w:cstheme="majorBidi"/>
              <w:noProof/>
              <w:sz w:val="28"/>
              <w:szCs w:val="28"/>
            </w:rPr>
            <w:t>Hernek, 2005 p. 44</w:t>
          </w:r>
          <w:r w:rsidRPr="00B734C8">
            <w:rPr>
              <w:rFonts w:asciiTheme="majorBidi" w:hAnsiTheme="majorBidi" w:cstheme="majorBidi"/>
              <w:noProof/>
              <w:sz w:val="28"/>
              <w:szCs w:val="28"/>
              <w:rtl/>
            </w:rPr>
            <w:t>)</w:t>
          </w:r>
          <w:r w:rsidRPr="0062695B">
            <w:rPr>
              <w:rFonts w:asciiTheme="majorBidi" w:hAnsiTheme="majorBidi" w:cstheme="majorBidi"/>
              <w:sz w:val="28"/>
              <w:szCs w:val="28"/>
              <w:rtl/>
            </w:rPr>
            <w:fldChar w:fldCharType="end"/>
          </w:r>
        </w:sdtContent>
      </w:sdt>
    </w:p>
    <w:p w:rsidR="0089450F" w:rsidRPr="00C96B1B"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r w:rsidRPr="00C96B1B">
        <w:rPr>
          <w:rFonts w:ascii="Simplified Arabic" w:hAnsi="Simplified Arabic" w:cs="Simplified Arabic"/>
          <w:sz w:val="32"/>
          <w:szCs w:val="32"/>
          <w:rtl/>
        </w:rPr>
        <w:t>يحدد المستهلك القيمة الحقيقية للمنتج، وتعرف القيمة من خلال العناصر التالية:</w:t>
      </w:r>
      <w:sdt>
        <w:sdtPr>
          <w:rPr>
            <w:rFonts w:ascii="Simplified Arabic" w:hAnsi="Simplified Arabic" w:cs="Simplified Arabic" w:hint="cs"/>
            <w:sz w:val="32"/>
            <w:szCs w:val="32"/>
            <w:rtl/>
            <w:lang w:bidi="ar-DZ"/>
          </w:rPr>
          <w:id w:val="-2082897004"/>
          <w:citation/>
        </w:sdtPr>
        <w:sdtContent>
          <w:r>
            <w:rPr>
              <w:rFonts w:ascii="Simplified Arabic" w:hAnsi="Simplified Arabic" w:cs="Simplified Arabic"/>
              <w:sz w:val="32"/>
              <w:szCs w:val="32"/>
              <w:rtl/>
              <w:lang w:bidi="ar-DZ"/>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بيل07</w:instrText>
          </w:r>
          <w:r>
            <w:rPr>
              <w:rFonts w:ascii="Simplified Arabic" w:hAnsi="Simplified Arabic" w:cs="Simplified Arabic"/>
              <w:sz w:val="32"/>
              <w:szCs w:val="32"/>
              <w:lang w:bidi="ar-DZ"/>
            </w:rPr>
            <w:instrText xml:space="preserve"> \p 172 \l 5121 </w:instrText>
          </w:r>
          <w:r>
            <w:rPr>
              <w:rFonts w:ascii="Simplified Arabic" w:hAnsi="Simplified Arabic" w:cs="Simplified Arabic"/>
              <w:sz w:val="32"/>
              <w:szCs w:val="32"/>
              <w:rtl/>
              <w:lang w:bidi="ar-DZ"/>
            </w:rPr>
            <w:fldChar w:fldCharType="separate"/>
          </w:r>
          <w:r w:rsidRPr="00B734C8">
            <w:rPr>
              <w:rFonts w:ascii="Simplified Arabic" w:hAnsi="Simplified Arabic" w:cs="Simplified Arabic" w:hint="cs"/>
              <w:noProof/>
              <w:sz w:val="32"/>
              <w:szCs w:val="32"/>
              <w:rtl/>
              <w:lang w:bidi="ar-DZ"/>
            </w:rPr>
            <w:t>(بيل، 2007 صفحة 172)</w:t>
          </w:r>
          <w:r>
            <w:rPr>
              <w:rFonts w:ascii="Simplified Arabic" w:hAnsi="Simplified Arabic" w:cs="Simplified Arabic"/>
              <w:sz w:val="32"/>
              <w:szCs w:val="32"/>
              <w:rtl/>
              <w:lang w:bidi="ar-DZ"/>
            </w:rPr>
            <w:fldChar w:fldCharType="end"/>
          </w:r>
        </w:sdtContent>
      </w:sdt>
      <w:r>
        <w:rPr>
          <w:rFonts w:ascii="Simplified Arabic" w:hAnsi="Simplified Arabic" w:cs="Simplified Arabic" w:hint="cs"/>
          <w:sz w:val="32"/>
          <w:szCs w:val="32"/>
          <w:rtl/>
          <w:lang w:bidi="ar-DZ"/>
        </w:rPr>
        <w:t>.</w:t>
      </w:r>
    </w:p>
    <w:p w:rsidR="0089450F" w:rsidRPr="00C96B1B" w:rsidRDefault="0089450F" w:rsidP="0089450F">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Pr>
      </w:pPr>
      <w:r w:rsidRPr="00C96B1B">
        <w:rPr>
          <w:rFonts w:ascii="Simplified Arabic" w:hAnsi="Simplified Arabic" w:cs="Simplified Arabic"/>
          <w:sz w:val="32"/>
          <w:szCs w:val="32"/>
          <w:rtl/>
        </w:rPr>
        <w:t>متغير دائم بالاعتماد على المستهلك؛</w:t>
      </w:r>
    </w:p>
    <w:p w:rsidR="0089450F" w:rsidRPr="00C96B1B" w:rsidRDefault="0089450F" w:rsidP="0089450F">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C96B1B">
        <w:rPr>
          <w:rFonts w:ascii="Simplified Arabic" w:hAnsi="Simplified Arabic" w:cs="Simplified Arabic"/>
          <w:sz w:val="32"/>
          <w:szCs w:val="32"/>
          <w:rtl/>
        </w:rPr>
        <w:t>تعتمد على الإدراك والتصور وليس على الواقع؛</w:t>
      </w:r>
    </w:p>
    <w:p w:rsidR="0089450F" w:rsidRPr="00C96B1B" w:rsidRDefault="0089450F" w:rsidP="0089450F">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Pr>
          <w:rFonts w:ascii="Simplified Arabic" w:hAnsi="Simplified Arabic" w:cs="Simplified Arabic"/>
          <w:sz w:val="32"/>
          <w:szCs w:val="32"/>
          <w:rtl/>
        </w:rPr>
        <w:t xml:space="preserve">تناوب بين السعر </w:t>
      </w:r>
      <w:r>
        <w:rPr>
          <w:rFonts w:ascii="Simplified Arabic" w:hAnsi="Simplified Arabic" w:cs="Simplified Arabic" w:hint="cs"/>
          <w:sz w:val="32"/>
          <w:szCs w:val="32"/>
          <w:rtl/>
        </w:rPr>
        <w:t>(</w:t>
      </w:r>
      <w:r w:rsidRPr="00C96B1B">
        <w:rPr>
          <w:rFonts w:ascii="Simplified Arabic" w:hAnsi="Simplified Arabic" w:cs="Simplified Arabic"/>
          <w:sz w:val="32"/>
          <w:szCs w:val="32"/>
          <w:rtl/>
        </w:rPr>
        <w:t>استثمار الزبون</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والمنفعة (ما يحصل عليه) .</w:t>
      </w:r>
    </w:p>
    <w:p w:rsidR="0089450F" w:rsidRPr="00C96B1B"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كما يكن التعبير عنها بالمعادلة التالية:</w:t>
      </w:r>
    </w:p>
    <w:p w:rsidR="0089450F" w:rsidRPr="007D1F36"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b/>
          <w:bCs/>
          <w:sz w:val="32"/>
          <w:szCs w:val="32"/>
          <w:rtl/>
        </w:rPr>
      </w:pPr>
      <w:r w:rsidRPr="007D1F36">
        <w:rPr>
          <w:rFonts w:ascii="Simplified Arabic" w:hAnsi="Simplified Arabic" w:cs="Simplified Arabic"/>
          <w:b/>
          <w:bCs/>
          <w:sz w:val="32"/>
          <w:szCs w:val="32"/>
          <w:rtl/>
        </w:rPr>
        <w:t>القيمة = المنفعة / السعر المدرك.</w:t>
      </w:r>
    </w:p>
    <w:p w:rsidR="0089450F" w:rsidRPr="00C96B1B"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ويترتب على هذه المعادلة ثلاثة نتائج هي كالتالي:</w:t>
      </w:r>
    </w:p>
    <w:p w:rsidR="0089450F" w:rsidRDefault="0089450F" w:rsidP="0089450F">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Pr>
      </w:pPr>
      <w:r w:rsidRPr="00D650D3">
        <w:rPr>
          <w:rFonts w:ascii="Simplified Arabic" w:hAnsi="Simplified Arabic" w:cs="Simplified Arabic"/>
          <w:b/>
          <w:bCs/>
          <w:sz w:val="32"/>
          <w:szCs w:val="32"/>
          <w:rtl/>
        </w:rPr>
        <w:t>النتيجة الأولى</w:t>
      </w:r>
      <w:r w:rsidRPr="00C96B1B">
        <w:rPr>
          <w:rFonts w:ascii="Simplified Arabic" w:hAnsi="Simplified Arabic" w:cs="Simplified Arabic"/>
          <w:sz w:val="32"/>
          <w:szCs w:val="32"/>
          <w:rtl/>
        </w:rPr>
        <w:t xml:space="preserve">: إذا زاد السعر وبقيت المنفعة المدركة ثابتة، فإن القيمة ستنحدر </w:t>
      </w:r>
    </w:p>
    <w:p w:rsidR="0089450F" w:rsidRDefault="0089450F" w:rsidP="0089450F">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Pr>
      </w:pPr>
      <w:r w:rsidRPr="004C1496">
        <w:rPr>
          <w:rFonts w:ascii="Simplified Arabic" w:hAnsi="Simplified Arabic" w:cs="Simplified Arabic"/>
          <w:b/>
          <w:bCs/>
          <w:sz w:val="32"/>
          <w:szCs w:val="32"/>
          <w:rtl/>
        </w:rPr>
        <w:lastRenderedPageBreak/>
        <w:t>النتيجة الثانية</w:t>
      </w:r>
      <w:r w:rsidRPr="00C96B1B">
        <w:rPr>
          <w:rFonts w:ascii="Simplified Arabic" w:hAnsi="Simplified Arabic" w:cs="Simplified Arabic"/>
          <w:sz w:val="32"/>
          <w:szCs w:val="32"/>
          <w:rtl/>
        </w:rPr>
        <w:t>: إذا زادت المنفعة المدركة، وبقي السعر كما هو، فإن القيمة سترتفع</w:t>
      </w:r>
    </w:p>
    <w:p w:rsidR="0089450F" w:rsidRPr="004C1496" w:rsidRDefault="0089450F" w:rsidP="0089450F">
      <w:pPr>
        <w:pStyle w:val="NormalWeb"/>
        <w:numPr>
          <w:ilvl w:val="0"/>
          <w:numId w:val="1"/>
        </w:numPr>
        <w:bidi/>
        <w:spacing w:before="0" w:beforeAutospacing="0" w:after="120" w:afterAutospacing="0" w:line="276" w:lineRule="auto"/>
        <w:jc w:val="lowKashida"/>
        <w:rPr>
          <w:rFonts w:ascii="Simplified Arabic" w:hAnsi="Simplified Arabic" w:cs="Simplified Arabic"/>
          <w:sz w:val="32"/>
          <w:szCs w:val="32"/>
          <w:rtl/>
        </w:rPr>
      </w:pPr>
      <w:r w:rsidRPr="004C1496">
        <w:rPr>
          <w:rFonts w:ascii="Simplified Arabic" w:hAnsi="Simplified Arabic" w:cs="Simplified Arabic"/>
          <w:b/>
          <w:bCs/>
          <w:sz w:val="32"/>
          <w:szCs w:val="32"/>
          <w:rtl/>
        </w:rPr>
        <w:t>النتيجة الثالثة:</w:t>
      </w:r>
      <w:r w:rsidRPr="004C1496">
        <w:rPr>
          <w:rFonts w:ascii="Simplified Arabic" w:hAnsi="Simplified Arabic" w:cs="Simplified Arabic"/>
          <w:sz w:val="32"/>
          <w:szCs w:val="32"/>
          <w:rtl/>
        </w:rPr>
        <w:t xml:space="preserve"> إذا زادت المنفعة المدركة، وارتفع السعر، فإن القيمة سترتفع أكثر.</w:t>
      </w:r>
    </w:p>
    <w:p w:rsidR="0089450F" w:rsidRPr="008775DD"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val="fr-FR" w:bidi="ar-DZ"/>
        </w:rPr>
      </w:pPr>
      <w:r w:rsidRPr="00C96B1B">
        <w:rPr>
          <w:rFonts w:ascii="Simplified Arabic" w:hAnsi="Simplified Arabic" w:cs="Simplified Arabic"/>
          <w:sz w:val="32"/>
          <w:szCs w:val="32"/>
          <w:rtl/>
        </w:rPr>
        <w:t>لقد قدم فاضل عباس كريم شرح وتحليل مفصل لكيف</w:t>
      </w:r>
      <w:r>
        <w:rPr>
          <w:rFonts w:ascii="Simplified Arabic" w:hAnsi="Simplified Arabic" w:cs="Simplified Arabic" w:hint="cs"/>
          <w:sz w:val="32"/>
          <w:szCs w:val="32"/>
          <w:rtl/>
        </w:rPr>
        <w:t>ي</w:t>
      </w:r>
      <w:r w:rsidRPr="00C96B1B">
        <w:rPr>
          <w:rFonts w:ascii="Simplified Arabic" w:hAnsi="Simplified Arabic" w:cs="Simplified Arabic"/>
          <w:sz w:val="32"/>
          <w:szCs w:val="32"/>
          <w:rtl/>
        </w:rPr>
        <w:t>ة تطور مفهوم القيمة من كونها تساوي السعر إلى كونها تساوي الأداء الاقتصادي مطورح</w:t>
      </w:r>
      <w:r>
        <w:rPr>
          <w:rFonts w:ascii="Simplified Arabic" w:hAnsi="Simplified Arabic" w:cs="Simplified Arabic" w:hint="cs"/>
          <w:sz w:val="32"/>
          <w:szCs w:val="32"/>
          <w:rtl/>
        </w:rPr>
        <w:t>ً</w:t>
      </w:r>
      <w:r w:rsidRPr="00C96B1B">
        <w:rPr>
          <w:rFonts w:ascii="Simplified Arabic" w:hAnsi="Simplified Arabic" w:cs="Simplified Arabic"/>
          <w:sz w:val="32"/>
          <w:szCs w:val="32"/>
          <w:rtl/>
        </w:rPr>
        <w:t>ا منه كلفة المشتري، إلى كونها دالة في أفضل المبادلات بين المنفعة وتضحية الزبون ضمن علاقته بالمؤسسة. ليتم تجاوز البعد النقدي في تحديد القيمة نتاج دخول متغير جديد تمثل في العلاقة، ومن ثم تطور المفهوم ليصبح القيمة المدركة للزبون والتي هي نتاج طرح القيمة الكلية للزبون من الكلفة الكلية للزبون؛ بحيث أن تعظيم قيمة الزبون يتم بتعظيم أحد مكونات المنفعة أو بتقليص أحد مكونات التكاليف، وصولا</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إلى منظور القيمة العمرية للزبون</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والتي وصفت على أنها صافي القيمة </w:t>
      </w:r>
      <w:r>
        <w:rPr>
          <w:rFonts w:ascii="Simplified Arabic" w:hAnsi="Simplified Arabic" w:cs="Simplified Arabic"/>
          <w:sz w:val="32"/>
          <w:szCs w:val="32"/>
          <w:rtl/>
        </w:rPr>
        <w:t xml:space="preserve">الحالية للتدفقات المستقبلية من </w:t>
      </w:r>
      <w:r>
        <w:rPr>
          <w:rFonts w:ascii="Simplified Arabic" w:hAnsi="Simplified Arabic" w:cs="Simplified Arabic" w:hint="cs"/>
          <w:sz w:val="32"/>
          <w:szCs w:val="32"/>
          <w:rtl/>
        </w:rPr>
        <w:t>إ</w:t>
      </w:r>
      <w:r w:rsidRPr="00C96B1B">
        <w:rPr>
          <w:rFonts w:ascii="Simplified Arabic" w:hAnsi="Simplified Arabic" w:cs="Simplified Arabic"/>
          <w:sz w:val="32"/>
          <w:szCs w:val="32"/>
          <w:rtl/>
        </w:rPr>
        <w:t>جمالي مشتريات الزبون في دورة حياته. أي أنها صافي العائد المتوقع من الزبون مخصوم بمعدل خصم ملائم على وفق كلفة رأس المال والمخاطرة. أما بمنظور تجربة الز</w:t>
      </w:r>
      <w:r>
        <w:rPr>
          <w:rFonts w:ascii="Simplified Arabic" w:hAnsi="Simplified Arabic" w:cs="Simplified Arabic"/>
          <w:sz w:val="32"/>
          <w:szCs w:val="32"/>
          <w:rtl/>
        </w:rPr>
        <w:t>بون فإن القيمة العمرية للزبون ه</w:t>
      </w:r>
      <w:r>
        <w:rPr>
          <w:rFonts w:ascii="Simplified Arabic" w:hAnsi="Simplified Arabic" w:cs="Simplified Arabic" w:hint="cs"/>
          <w:sz w:val="32"/>
          <w:szCs w:val="32"/>
          <w:rtl/>
        </w:rPr>
        <w:t>ي</w:t>
      </w:r>
      <w:r w:rsidRPr="00C96B1B">
        <w:rPr>
          <w:rFonts w:ascii="Simplified Arabic" w:hAnsi="Simplified Arabic" w:cs="Simplified Arabic"/>
          <w:sz w:val="32"/>
          <w:szCs w:val="32"/>
          <w:rtl/>
        </w:rPr>
        <w:t xml:space="preserve"> دالة لأمثلية تجربة الزبون الخارجية وملكية الزبون الداخلية</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أي أنها نتاج جمع التجربة والملكية</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والجديد من هذا المنظور هو ملكية الزبون المتكونة من ملكية القيمة وملكية العلامة وملكية العلاقة، أما العنصر الث</w:t>
      </w:r>
      <w:r>
        <w:rPr>
          <w:rFonts w:ascii="Simplified Arabic" w:hAnsi="Simplified Arabic" w:cs="Simplified Arabic"/>
          <w:sz w:val="32"/>
          <w:szCs w:val="32"/>
          <w:rtl/>
        </w:rPr>
        <w:t>اني فهو تسيير معرفة الزبون بناء</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على تسيير العلاقـــةمعه</w:t>
      </w:r>
      <w:sdt>
        <w:sdtPr>
          <w:rPr>
            <w:rFonts w:ascii="Simplified Arabic" w:hAnsi="Simplified Arabic" w:cs="Simplified Arabic" w:hint="cs"/>
            <w:sz w:val="32"/>
            <w:szCs w:val="32"/>
            <w:highlight w:val="yellow"/>
            <w:rtl/>
          </w:rPr>
          <w:id w:val="1175452108"/>
          <w:citation/>
        </w:sdtPr>
        <w:sdtContent>
          <w:r w:rsidRPr="008775DD">
            <w:rPr>
              <w:rFonts w:ascii="Simplified Arabic" w:hAnsi="Simplified Arabic" w:cs="Simplified Arabic"/>
              <w:sz w:val="32"/>
              <w:szCs w:val="32"/>
              <w:highlight w:val="yellow"/>
              <w:rtl/>
            </w:rPr>
            <w:fldChar w:fldCharType="begin"/>
          </w:r>
          <w:r w:rsidRPr="008775DD">
            <w:rPr>
              <w:rFonts w:ascii="Simplified Arabic" w:hAnsi="Simplified Arabic" w:cs="Simplified Arabic"/>
              <w:sz w:val="32"/>
              <w:szCs w:val="32"/>
              <w:highlight w:val="yellow"/>
              <w:lang w:bidi="ar-DZ"/>
            </w:rPr>
            <w:instrText xml:space="preserve">CITATION </w:instrText>
          </w:r>
          <w:r w:rsidRPr="008775DD">
            <w:rPr>
              <w:rFonts w:ascii="Simplified Arabic" w:hAnsi="Simplified Arabic" w:cs="Simplified Arabic"/>
              <w:sz w:val="32"/>
              <w:szCs w:val="32"/>
              <w:highlight w:val="yellow"/>
              <w:rtl/>
              <w:lang w:bidi="ar-DZ"/>
            </w:rPr>
            <w:instrText>كري08</w:instrText>
          </w:r>
          <w:r w:rsidRPr="008775DD">
            <w:rPr>
              <w:rFonts w:ascii="Simplified Arabic" w:hAnsi="Simplified Arabic" w:cs="Simplified Arabic"/>
              <w:sz w:val="32"/>
              <w:szCs w:val="32"/>
              <w:highlight w:val="yellow"/>
              <w:lang w:bidi="ar-DZ"/>
            </w:rPr>
            <w:instrText xml:space="preserve"> \l 5121 </w:instrText>
          </w:r>
          <w:r w:rsidRPr="008775DD">
            <w:rPr>
              <w:rFonts w:ascii="Simplified Arabic" w:hAnsi="Simplified Arabic" w:cs="Simplified Arabic"/>
              <w:sz w:val="32"/>
              <w:szCs w:val="32"/>
              <w:highlight w:val="yellow"/>
              <w:rtl/>
            </w:rPr>
            <w:fldChar w:fldCharType="separate"/>
          </w:r>
          <w:r w:rsidRPr="00B734C8">
            <w:rPr>
              <w:rFonts w:ascii="Simplified Arabic" w:hAnsi="Simplified Arabic" w:cs="Simplified Arabic" w:hint="cs"/>
              <w:noProof/>
              <w:sz w:val="32"/>
              <w:szCs w:val="32"/>
              <w:highlight w:val="yellow"/>
              <w:rtl/>
            </w:rPr>
            <w:t>(كريم، 2010)</w:t>
          </w:r>
          <w:r w:rsidRPr="008775DD">
            <w:rPr>
              <w:rFonts w:ascii="Simplified Arabic" w:hAnsi="Simplified Arabic" w:cs="Simplified Arabic"/>
              <w:sz w:val="32"/>
              <w:szCs w:val="32"/>
              <w:highlight w:val="yellow"/>
              <w:rtl/>
            </w:rPr>
            <w:fldChar w:fldCharType="end"/>
          </w:r>
        </w:sdtContent>
      </w:sdt>
      <w:r w:rsidRPr="008775DD">
        <w:rPr>
          <w:rFonts w:ascii="Simplified Arabic" w:hAnsi="Simplified Arabic" w:cs="Simplified Arabic"/>
          <w:sz w:val="32"/>
          <w:szCs w:val="32"/>
          <w:highlight w:val="yellow"/>
          <w:rtl/>
        </w:rPr>
        <w:t>.</w:t>
      </w:r>
    </w:p>
    <w:p w:rsidR="0089450F" w:rsidRPr="00C96B1B"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w:r w:rsidRPr="00425350">
        <w:rPr>
          <w:rFonts w:ascii="Simplified Arabic" w:hAnsi="Simplified Arabic" w:cs="Simplified Arabic"/>
          <w:b/>
          <w:bCs/>
          <w:sz w:val="32"/>
          <w:szCs w:val="32"/>
          <w:rtl/>
        </w:rPr>
        <w:t>2</w:t>
      </w:r>
      <w:r w:rsidRPr="00425350">
        <w:rPr>
          <w:rFonts w:ascii="Simplified Arabic" w:hAnsi="Simplified Arabic" w:cs="Simplified Arabic" w:hint="cs"/>
          <w:b/>
          <w:bCs/>
          <w:sz w:val="32"/>
          <w:szCs w:val="32"/>
          <w:rtl/>
        </w:rPr>
        <w:t>-</w:t>
      </w:r>
      <w:r w:rsidRPr="00425350">
        <w:rPr>
          <w:rFonts w:ascii="Simplified Arabic" w:hAnsi="Simplified Arabic" w:cs="Simplified Arabic"/>
          <w:b/>
          <w:bCs/>
          <w:sz w:val="32"/>
          <w:szCs w:val="32"/>
          <w:rtl/>
        </w:rPr>
        <w:t xml:space="preserve"> تحليل قيمة الزبون</w:t>
      </w:r>
      <w:r w:rsidRPr="00C96B1B">
        <w:rPr>
          <w:rFonts w:ascii="Simplified Arabic" w:hAnsi="Simplified Arabic" w:cs="Simplified Arabic"/>
          <w:sz w:val="32"/>
          <w:szCs w:val="32"/>
          <w:rtl/>
        </w:rPr>
        <w:t xml:space="preserve">: هي طريقة تُعتمد في وصف خصائص الزبون لتحليل واكتشاف أنواع الزبائن. تهدف المؤسسة من خلالها إلى تكوين معرفة دقيقة عن الزبائن ضمن الزخم الهائل من البيانات المتعلقة بالزبائن. وتحديد الزبائن المستهدفين. ولقد قدم </w:t>
      </w:r>
      <w:r w:rsidRPr="009F6A9A">
        <w:rPr>
          <w:rFonts w:asciiTheme="majorBidi" w:hAnsiTheme="majorBidi" w:cstheme="majorBidi"/>
          <w:sz w:val="28"/>
          <w:szCs w:val="28"/>
          <w:rtl/>
        </w:rPr>
        <w:t>1994</w:t>
      </w:r>
      <w:r w:rsidRPr="009F6A9A">
        <w:rPr>
          <w:rFonts w:asciiTheme="majorBidi" w:hAnsiTheme="majorBidi" w:cstheme="majorBidi"/>
          <w:sz w:val="28"/>
          <w:szCs w:val="28"/>
        </w:rPr>
        <w:t>Hughes</w:t>
      </w:r>
      <w:r w:rsidRPr="00C96B1B">
        <w:rPr>
          <w:rFonts w:ascii="Simplified Arabic" w:hAnsi="Simplified Arabic" w:cs="Simplified Arabic"/>
          <w:sz w:val="32"/>
          <w:szCs w:val="32"/>
          <w:rtl/>
        </w:rPr>
        <w:t xml:space="preserve"> نموذج</w:t>
      </w:r>
      <w:r w:rsidRPr="00181036">
        <w:rPr>
          <w:rFonts w:asciiTheme="majorBidi" w:hAnsiTheme="majorBidi" w:cstheme="majorBidi"/>
          <w:sz w:val="28"/>
          <w:szCs w:val="28"/>
        </w:rPr>
        <w:t>RFM</w:t>
      </w:r>
      <w:r w:rsidRPr="00C96B1B">
        <w:rPr>
          <w:rFonts w:ascii="Simplified Arabic" w:hAnsi="Simplified Arabic" w:cs="Simplified Arabic"/>
          <w:sz w:val="32"/>
          <w:szCs w:val="32"/>
          <w:rtl/>
        </w:rPr>
        <w:t xml:space="preserve"> الذي يميز الزبائن المهمين من خلال ثلاث خواص أو </w:t>
      </w:r>
      <w:r w:rsidRPr="00C96B1B">
        <w:rPr>
          <w:rFonts w:ascii="Simplified Arabic" w:hAnsi="Simplified Arabic" w:cs="Simplified Arabic"/>
          <w:sz w:val="32"/>
          <w:szCs w:val="32"/>
          <w:rtl/>
        </w:rPr>
        <w:lastRenderedPageBreak/>
        <w:t>متغيرات</w:t>
      </w:r>
      <w:r>
        <w:rPr>
          <w:rFonts w:ascii="Simplified Arabic" w:hAnsi="Simplified Arabic" w:cs="Simplified Arabic" w:hint="cs"/>
          <w:sz w:val="32"/>
          <w:szCs w:val="32"/>
          <w:rtl/>
          <w:lang w:bidi="ar-DZ"/>
        </w:rPr>
        <w:t>،</w:t>
      </w:r>
      <w:r w:rsidRPr="00C96B1B">
        <w:rPr>
          <w:rFonts w:ascii="Simplified Arabic" w:hAnsi="Simplified Arabic" w:cs="Simplified Arabic"/>
          <w:sz w:val="32"/>
          <w:szCs w:val="32"/>
          <w:rtl/>
        </w:rPr>
        <w:t xml:space="preserve"> هي ف</w:t>
      </w:r>
      <w:r>
        <w:rPr>
          <w:rFonts w:ascii="Simplified Arabic" w:hAnsi="Simplified Arabic" w:cs="Simplified Arabic"/>
          <w:sz w:val="32"/>
          <w:szCs w:val="32"/>
          <w:rtl/>
        </w:rPr>
        <w:t>ترة الاستهلاك أي الوقت الفاصل ل</w:t>
      </w:r>
      <w:r>
        <w:rPr>
          <w:rFonts w:ascii="Simplified Arabic" w:hAnsi="Simplified Arabic" w:cs="Simplified Arabic" w:hint="cs"/>
          <w:sz w:val="32"/>
          <w:szCs w:val="32"/>
          <w:rtl/>
        </w:rPr>
        <w:t>آ</w:t>
      </w:r>
      <w:r w:rsidRPr="00C96B1B">
        <w:rPr>
          <w:rFonts w:ascii="Simplified Arabic" w:hAnsi="Simplified Arabic" w:cs="Simplified Arabic"/>
          <w:sz w:val="32"/>
          <w:szCs w:val="32"/>
          <w:rtl/>
        </w:rPr>
        <w:t xml:space="preserve">خر شراء </w:t>
      </w:r>
      <w:r w:rsidRPr="005870DE">
        <w:rPr>
          <w:rFonts w:asciiTheme="majorBidi" w:hAnsiTheme="majorBidi" w:cstheme="majorBidi"/>
          <w:sz w:val="28"/>
          <w:szCs w:val="28"/>
        </w:rPr>
        <w:t>Recency of the last purchase</w:t>
      </w:r>
      <w:r w:rsidRPr="00C96B1B">
        <w:rPr>
          <w:rFonts w:ascii="Simplified Arabic" w:hAnsi="Simplified Arabic" w:cs="Simplified Arabic"/>
          <w:sz w:val="32"/>
          <w:szCs w:val="32"/>
          <w:rtl/>
        </w:rPr>
        <w:t xml:space="preserve">. والتردد الذي يشير إلى عدد الصفقات في فترة زمنية محددة </w:t>
      </w:r>
      <w:r w:rsidRPr="005870DE">
        <w:rPr>
          <w:rFonts w:asciiTheme="majorBidi" w:hAnsiTheme="majorBidi" w:cstheme="majorBidi"/>
          <w:sz w:val="28"/>
          <w:szCs w:val="28"/>
        </w:rPr>
        <w:t>Frequency of the purchases F</w:t>
      </w:r>
      <w:r w:rsidRPr="00C96B1B">
        <w:rPr>
          <w:rFonts w:ascii="Simplified Arabic" w:hAnsi="Simplified Arabic" w:cs="Simplified Arabic"/>
          <w:sz w:val="32"/>
          <w:szCs w:val="32"/>
          <w:rtl/>
        </w:rPr>
        <w:t xml:space="preserve">. والجانب المالي الذي يعكس قيمة مشتريات الزبون </w:t>
      </w:r>
      <w:r w:rsidRPr="005870DE">
        <w:rPr>
          <w:rFonts w:asciiTheme="majorBidi" w:hAnsiTheme="majorBidi" w:cstheme="majorBidi"/>
          <w:sz w:val="28"/>
          <w:szCs w:val="28"/>
        </w:rPr>
        <w:t>Monetary value of the purchases</w:t>
      </w:r>
      <w:sdt>
        <w:sdtPr>
          <w:rPr>
            <w:rFonts w:ascii="Simplified Arabic" w:hAnsi="Simplified Arabic" w:cs="Simplified Arabic" w:hint="cs"/>
            <w:sz w:val="32"/>
            <w:szCs w:val="32"/>
            <w:rtl/>
            <w:lang w:bidi="ar-DZ"/>
          </w:rPr>
          <w:id w:val="-1601644744"/>
          <w:citation/>
        </w:sdtPr>
        <w:sdtContent>
          <w:r w:rsidRPr="00C85F0E">
            <w:rPr>
              <w:rFonts w:asciiTheme="majorBidi" w:hAnsiTheme="majorBidi" w:cstheme="majorBidi"/>
              <w:sz w:val="28"/>
              <w:szCs w:val="28"/>
              <w:rtl/>
              <w:lang w:bidi="ar-DZ"/>
            </w:rPr>
            <w:fldChar w:fldCharType="begin"/>
          </w:r>
          <w:r w:rsidRPr="00C85F0E">
            <w:rPr>
              <w:rFonts w:asciiTheme="majorBidi" w:hAnsiTheme="majorBidi" w:cstheme="majorBidi"/>
              <w:sz w:val="28"/>
              <w:szCs w:val="28"/>
              <w:lang w:val="fr-FR" w:bidi="ar-DZ"/>
            </w:rPr>
            <w:instrText xml:space="preserve">CITATION Che09 \p 4178 \l 1036 </w:instrText>
          </w:r>
          <w:r w:rsidRPr="00C85F0E">
            <w:rPr>
              <w:rFonts w:asciiTheme="majorBidi" w:hAnsiTheme="majorBidi" w:cstheme="majorBidi"/>
              <w:sz w:val="28"/>
              <w:szCs w:val="28"/>
              <w:rtl/>
              <w:lang w:bidi="ar-DZ"/>
            </w:rPr>
            <w:fldChar w:fldCharType="separate"/>
          </w:r>
          <w:r w:rsidRPr="00B734C8">
            <w:rPr>
              <w:rFonts w:asciiTheme="majorBidi" w:hAnsiTheme="majorBidi" w:cstheme="majorBidi"/>
              <w:noProof/>
              <w:sz w:val="28"/>
              <w:szCs w:val="28"/>
              <w:rtl/>
              <w:lang w:bidi="ar-DZ"/>
            </w:rPr>
            <w:t>(</w:t>
          </w:r>
          <w:r w:rsidRPr="00B734C8">
            <w:rPr>
              <w:rFonts w:asciiTheme="majorBidi" w:hAnsiTheme="majorBidi" w:cstheme="majorBidi"/>
              <w:noProof/>
              <w:sz w:val="28"/>
              <w:szCs w:val="28"/>
              <w:lang w:bidi="ar-DZ"/>
            </w:rPr>
            <w:t>Cheng, et al., 2009 p. 4178</w:t>
          </w:r>
          <w:r w:rsidRPr="00B734C8">
            <w:rPr>
              <w:rFonts w:asciiTheme="majorBidi" w:hAnsiTheme="majorBidi" w:cstheme="majorBidi"/>
              <w:noProof/>
              <w:sz w:val="28"/>
              <w:szCs w:val="28"/>
              <w:rtl/>
              <w:lang w:bidi="ar-DZ"/>
            </w:rPr>
            <w:t>)</w:t>
          </w:r>
          <w:r w:rsidRPr="00C85F0E">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lang w:bidi="ar-DZ"/>
        </w:rPr>
        <w:t>.</w:t>
      </w:r>
    </w:p>
    <w:p w:rsidR="0089450F" w:rsidRPr="00C96B1B"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Pr>
      </w:pPr>
      <w:r w:rsidRPr="00C96B1B">
        <w:rPr>
          <w:rFonts w:ascii="Simplified Arabic" w:hAnsi="Simplified Arabic" w:cs="Simplified Arabic"/>
          <w:sz w:val="32"/>
          <w:szCs w:val="32"/>
          <w:rtl/>
        </w:rPr>
        <w:t>إن ما يدفعه الزبون نتاج اقتنائه منتج معين لا ينحصر في الجانب المادي بقدر ما يظهر في تكامل مجموعة كبيرة من العناصر التي تختلف في درجة وجودها أو غيابها وأولوياتها</w:t>
      </w:r>
      <w:r>
        <w:rPr>
          <w:rFonts w:ascii="Simplified Arabic" w:hAnsi="Simplified Arabic" w:cs="Simplified Arabic" w:hint="cs"/>
          <w:sz w:val="32"/>
          <w:szCs w:val="32"/>
          <w:rtl/>
          <w:lang w:bidi="ar-DZ"/>
        </w:rPr>
        <w:t>،</w:t>
      </w:r>
      <w:r w:rsidRPr="00C96B1B">
        <w:rPr>
          <w:rFonts w:ascii="Simplified Arabic" w:hAnsi="Simplified Arabic" w:cs="Simplified Arabic"/>
          <w:sz w:val="32"/>
          <w:szCs w:val="32"/>
          <w:rtl/>
        </w:rPr>
        <w:t>ومعامل الأهمية الذي يضعه كل زبون بحسب الظروف المحيطة بعملية الشراء والتي تخص الفرد بحد ذاته من جهة، وكذلك مكونات العرض المقدم؛ بحيث أن الزبون يتحمل تبعات مادية واجتماعية ونفسية ...الخ، تكون إما ايجابية أو سلبية وقوية أو ضعيفة.</w:t>
      </w:r>
    </w:p>
    <w:p w:rsidR="0089450F" w:rsidRPr="00EC6947"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val="fr-FR" w:bidi="ar-DZ"/>
        </w:rPr>
      </w:pPr>
      <w:r w:rsidRPr="00C96B1B">
        <w:rPr>
          <w:rFonts w:ascii="Simplified Arabic" w:hAnsi="Simplified Arabic" w:cs="Simplified Arabic"/>
          <w:sz w:val="32"/>
          <w:szCs w:val="32"/>
          <w:rtl/>
        </w:rPr>
        <w:t xml:space="preserve">عرفت قيمة الزبون بأنها تقييم الزبون بدقة لمنتج البائع وموافقته على شرائه فقط </w:t>
      </w:r>
      <w:r>
        <w:rPr>
          <w:rFonts w:ascii="Simplified Arabic" w:hAnsi="Simplified Arabic" w:cs="Simplified Arabic" w:hint="cs"/>
          <w:sz w:val="32"/>
          <w:szCs w:val="32"/>
          <w:rtl/>
        </w:rPr>
        <w:t>إ</w:t>
      </w:r>
      <w:r w:rsidRPr="00C96B1B">
        <w:rPr>
          <w:rFonts w:ascii="Simplified Arabic" w:hAnsi="Simplified Arabic" w:cs="Simplified Arabic"/>
          <w:sz w:val="32"/>
          <w:szCs w:val="32"/>
          <w:rtl/>
        </w:rPr>
        <w:t>ذا كانت المنافع نسبة إلى التكاليف ملحوظة بشكل عالي يجعل من الزبون يهتم</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كما يمكن أن تعرف أو تظهر في السعر الأقل وحاجات الزبون والجودة التي يحصل عليها الزبون مع مقارنة ما يدفعه الزبون مقابل ما يحصل عليه</w:t>
      </w:r>
      <w:sdt>
        <w:sdtPr>
          <w:rPr>
            <w:rFonts w:ascii="Simplified Arabic" w:hAnsi="Simplified Arabic" w:cs="Simplified Arabic" w:hint="cs"/>
            <w:sz w:val="32"/>
            <w:szCs w:val="32"/>
            <w:rtl/>
            <w:lang w:bidi="ar-DZ"/>
          </w:rPr>
          <w:id w:val="1356235197"/>
          <w:citation/>
        </w:sdtPr>
        <w:sdtContent>
          <w:r>
            <w:rPr>
              <w:rFonts w:ascii="Simplified Arabic" w:hAnsi="Simplified Arabic" w:cs="Simplified Arabic"/>
              <w:sz w:val="32"/>
              <w:szCs w:val="32"/>
              <w:rtl/>
              <w:lang w:bidi="ar-DZ"/>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الج09 \</w:instrText>
          </w:r>
          <w:r>
            <w:rPr>
              <w:rFonts w:ascii="Simplified Arabic" w:hAnsi="Simplified Arabic" w:cs="Simplified Arabic"/>
              <w:sz w:val="32"/>
              <w:szCs w:val="32"/>
              <w:lang w:bidi="ar-DZ"/>
            </w:rPr>
            <w:instrText>p 184 \l 5121</w:instrText>
          </w:r>
          <w:r>
            <w:rPr>
              <w:rFonts w:ascii="Simplified Arabic" w:hAnsi="Simplified Arabic" w:cs="Simplified Arabic"/>
              <w:sz w:val="32"/>
              <w:szCs w:val="32"/>
              <w:rtl/>
              <w:lang w:bidi="ar-DZ"/>
            </w:rPr>
            <w:fldChar w:fldCharType="separate"/>
          </w:r>
          <w:r w:rsidRPr="00B734C8">
            <w:rPr>
              <w:rFonts w:ascii="Simplified Arabic" w:hAnsi="Simplified Arabic" w:cs="Simplified Arabic" w:hint="cs"/>
              <w:noProof/>
              <w:sz w:val="32"/>
              <w:szCs w:val="32"/>
              <w:rtl/>
              <w:lang w:bidi="ar-DZ"/>
            </w:rPr>
            <w:t>(الجنابي، 2009 صفحة 184)</w:t>
          </w:r>
          <w:r>
            <w:rPr>
              <w:rFonts w:ascii="Simplified Arabic" w:hAnsi="Simplified Arabic" w:cs="Simplified Arabic"/>
              <w:sz w:val="32"/>
              <w:szCs w:val="32"/>
              <w:rtl/>
              <w:lang w:bidi="ar-DZ"/>
            </w:rPr>
            <w:fldChar w:fldCharType="end"/>
          </w:r>
        </w:sdtContent>
      </w:sdt>
      <w:r w:rsidRPr="00C96B1B">
        <w:rPr>
          <w:rFonts w:ascii="Simplified Arabic" w:hAnsi="Simplified Arabic" w:cs="Simplified Arabic"/>
          <w:sz w:val="32"/>
          <w:szCs w:val="32"/>
          <w:rtl/>
        </w:rPr>
        <w:t>.</w:t>
      </w:r>
    </w:p>
    <w:p w:rsidR="0089450F"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b/>
          <w:bCs/>
          <w:sz w:val="32"/>
          <w:szCs w:val="32"/>
          <w:rtl/>
        </w:rPr>
        <w:t>القيمة العمرية للزبون:</w:t>
      </w:r>
      <w:r w:rsidRPr="00EF6890">
        <w:rPr>
          <w:rFonts w:asciiTheme="majorBidi" w:hAnsiTheme="majorBidi" w:cstheme="majorBidi"/>
          <w:b/>
          <w:bCs/>
          <w:sz w:val="28"/>
          <w:szCs w:val="28"/>
          <w:rtl/>
        </w:rPr>
        <w:t xml:space="preserve"> (</w:t>
      </w:r>
      <w:r w:rsidRPr="00EF6890">
        <w:rPr>
          <w:rFonts w:asciiTheme="majorBidi" w:hAnsiTheme="majorBidi" w:cstheme="majorBidi"/>
          <w:b/>
          <w:bCs/>
          <w:sz w:val="28"/>
          <w:szCs w:val="28"/>
        </w:rPr>
        <w:t>lifetime customer value (LCV</w:t>
      </w:r>
      <w:r w:rsidRPr="00EF6890">
        <w:rPr>
          <w:rFonts w:ascii="Simplified Arabic" w:hAnsi="Simplified Arabic" w:cs="Simplified Arabic"/>
          <w:sz w:val="32"/>
          <w:szCs w:val="32"/>
          <w:rtl/>
        </w:rPr>
        <w:t>هي: قيمة اجمالي مشتريات الزبون</w:t>
      </w:r>
      <w:r w:rsidRPr="00C96B1B">
        <w:rPr>
          <w:rFonts w:ascii="Simplified Arabic" w:hAnsi="Simplified Arabic" w:cs="Simplified Arabic"/>
          <w:sz w:val="32"/>
          <w:szCs w:val="32"/>
          <w:rtl/>
        </w:rPr>
        <w:t>الواحد التي يمكن أن يشتريها من المؤسسة على مدار الوقت الذي يتعامل فيه معها</w:t>
      </w:r>
      <w:sdt>
        <w:sdtPr>
          <w:rPr>
            <w:rFonts w:ascii="Simplified Arabic" w:hAnsi="Simplified Arabic" w:cs="Simplified Arabic" w:hint="cs"/>
            <w:sz w:val="32"/>
            <w:szCs w:val="32"/>
            <w:rtl/>
          </w:rPr>
          <w:id w:val="220877436"/>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أبو10 \</w:instrText>
          </w:r>
          <w:r>
            <w:rPr>
              <w:rFonts w:ascii="Simplified Arabic" w:hAnsi="Simplified Arabic" w:cs="Simplified Arabic"/>
              <w:sz w:val="32"/>
              <w:szCs w:val="32"/>
              <w:lang w:bidi="ar-DZ"/>
            </w:rPr>
            <w:instrText>p 35 \l 5121</w:instrText>
          </w:r>
          <w:r>
            <w:rPr>
              <w:rFonts w:ascii="Simplified Arabic" w:hAnsi="Simplified Arabic" w:cs="Simplified Arabic"/>
              <w:sz w:val="32"/>
              <w:szCs w:val="32"/>
              <w:rtl/>
            </w:rPr>
            <w:fldChar w:fldCharType="separate"/>
          </w:r>
          <w:r w:rsidRPr="00B734C8">
            <w:rPr>
              <w:rFonts w:ascii="Simplified Arabic" w:hAnsi="Simplified Arabic" w:cs="Simplified Arabic" w:hint="cs"/>
              <w:noProof/>
              <w:sz w:val="32"/>
              <w:szCs w:val="32"/>
              <w:rtl/>
            </w:rPr>
            <w:t>(أبو النجا، 2010 صفحة 35)</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89450F" w:rsidRPr="00273526"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rtl/>
          <w:lang w:bidi="ar-DZ"/>
        </w:rPr>
      </w:pPr>
      <w:r>
        <w:rPr>
          <w:rFonts w:ascii="Simplified Arabic" w:hAnsi="Simplified Arabic" w:cs="Simplified Arabic" w:hint="cs"/>
          <w:b/>
          <w:bCs/>
          <w:sz w:val="32"/>
          <w:szCs w:val="32"/>
          <w:rtl/>
        </w:rPr>
        <w:t>قانون حساب القيمة العمرية للزبون</w:t>
      </w:r>
      <w:r w:rsidRPr="001C2C0C">
        <w:rPr>
          <w:rFonts w:asciiTheme="majorBidi" w:hAnsiTheme="majorBidi" w:cstheme="majorBidi"/>
          <w:b/>
          <w:bCs/>
          <w:sz w:val="28"/>
          <w:szCs w:val="28"/>
          <w:rtl/>
        </w:rPr>
        <w:t xml:space="preserve">: </w:t>
      </w:r>
      <w:r w:rsidRPr="009D743A">
        <w:rPr>
          <w:rFonts w:asciiTheme="majorBidi" w:hAnsiTheme="majorBidi" w:cstheme="majorBidi"/>
          <w:sz w:val="28"/>
          <w:szCs w:val="28"/>
          <w:highlight w:val="yellow"/>
        </w:rPr>
        <w:t>Francis Buttle, Op-Cit,</w:t>
      </w:r>
      <w:r w:rsidRPr="001C2C0C">
        <w:rPr>
          <w:rFonts w:asciiTheme="majorBidi" w:hAnsiTheme="majorBidi" w:cstheme="majorBidi"/>
          <w:sz w:val="28"/>
          <w:szCs w:val="28"/>
        </w:rPr>
        <w:t xml:space="preserve"> P: 141</w:t>
      </w:r>
      <w:r w:rsidRPr="009D743A">
        <w:rPr>
          <w:rStyle w:val="Appelnotedebasdep"/>
          <w:rFonts w:ascii="Simplified Arabic" w:hAnsi="Simplified Arabic" w:cs="Simplified Arabic"/>
          <w:sz w:val="36"/>
          <w:szCs w:val="36"/>
          <w:rtl/>
          <w:lang w:bidi="ar-DZ"/>
        </w:rPr>
        <w:footnoteReference w:customMarkFollows="1" w:id="2"/>
        <w:t>*</w:t>
      </w:r>
    </w:p>
    <w:p w:rsidR="0089450F" w:rsidRPr="00C96B1B"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lang w:bidi="ar-DZ"/>
        </w:rPr>
      </w:pPr>
      <m:oMathPara>
        <m:oMath>
          <m:r>
            <w:rPr>
              <w:rFonts w:ascii="Cambria Math" w:hAnsi="Cambria Math" w:cs="Simplified Arabic"/>
              <w:sz w:val="32"/>
              <w:szCs w:val="32"/>
              <w:lang w:bidi="ar-DZ"/>
            </w:rPr>
            <w:lastRenderedPageBreak/>
            <m:t>LTV=</m:t>
          </m:r>
          <m:r>
            <w:rPr>
              <w:rFonts w:ascii="Cambria Math" w:hAnsi="Cambria Math" w:cs="Simplified Arabic"/>
              <w:sz w:val="32"/>
              <w:szCs w:val="32"/>
              <w:lang w:val="fr-FR" w:bidi="ar-DZ"/>
            </w:rPr>
            <m:t>M</m:t>
          </m:r>
          <m:d>
            <m:dPr>
              <m:ctrlPr>
                <w:rPr>
                  <w:rFonts w:ascii="Cambria Math" w:hAnsi="Cambria Math" w:cs="Simplified Arabic"/>
                  <w:i/>
                  <w:sz w:val="32"/>
                  <w:szCs w:val="32"/>
                  <w:lang w:bidi="ar-DZ"/>
                </w:rPr>
              </m:ctrlPr>
            </m:dPr>
            <m:e>
              <m:f>
                <m:fPr>
                  <m:ctrlPr>
                    <w:rPr>
                      <w:rFonts w:ascii="Cambria Math" w:hAnsi="Cambria Math" w:cs="Simplified Arabic"/>
                      <w:i/>
                      <w:sz w:val="32"/>
                      <w:szCs w:val="32"/>
                      <w:lang w:bidi="ar-DZ"/>
                    </w:rPr>
                  </m:ctrlPr>
                </m:fPr>
                <m:num>
                  <m:r>
                    <w:rPr>
                      <w:rFonts w:ascii="Cambria Math" w:hAnsi="Cambria Math" w:cs="Simplified Arabic"/>
                      <w:sz w:val="32"/>
                      <w:szCs w:val="32"/>
                      <w:lang w:bidi="ar-DZ"/>
                    </w:rPr>
                    <m:t>r</m:t>
                  </m:r>
                </m:num>
                <m:den>
                  <m:r>
                    <w:rPr>
                      <w:rFonts w:ascii="Cambria Math" w:hAnsi="Cambria Math" w:cs="Simplified Arabic"/>
                      <w:sz w:val="32"/>
                      <w:szCs w:val="32"/>
                      <w:lang w:bidi="ar-DZ"/>
                    </w:rPr>
                    <m:t>1+i-r</m:t>
                  </m:r>
                </m:den>
              </m:f>
            </m:e>
          </m:d>
        </m:oMath>
      </m:oMathPara>
    </w:p>
    <w:p w:rsidR="0089450F" w:rsidRPr="00EF6890"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i/>
          <w:sz w:val="32"/>
          <w:szCs w:val="32"/>
          <w:rtl/>
          <w:lang w:val="fr-FR"/>
        </w:rPr>
      </w:pPr>
      <m:oMath>
        <m:r>
          <w:rPr>
            <w:rFonts w:ascii="Cambria Math" w:hAnsi="Cambria Math" w:cs="Simplified Arabic"/>
            <w:sz w:val="32"/>
            <w:szCs w:val="32"/>
            <w:lang w:bidi="ar-DZ"/>
          </w:rPr>
          <m:t>LTV</m:t>
        </m:r>
      </m:oMath>
      <w:r>
        <w:rPr>
          <w:rFonts w:ascii="Simplified Arabic" w:hAnsi="Simplified Arabic" w:cs="Simplified Arabic" w:hint="cs"/>
          <w:sz w:val="32"/>
          <w:szCs w:val="32"/>
          <w:rtl/>
          <w:lang w:bidi="ar-DZ"/>
        </w:rPr>
        <w:t xml:space="preserve"> : </w:t>
      </w:r>
      <w:r w:rsidRPr="00C96B1B">
        <w:rPr>
          <w:rFonts w:ascii="Simplified Arabic" w:hAnsi="Simplified Arabic" w:cs="Simplified Arabic"/>
          <w:sz w:val="32"/>
          <w:szCs w:val="32"/>
          <w:rtl/>
        </w:rPr>
        <w:t>قيمة الزبون مدى الحياة</w:t>
      </w:r>
    </w:p>
    <w:p w:rsidR="0089450F" w:rsidRPr="00C96B1B"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m:oMath>
        <m:r>
          <m:rPr>
            <m:sty m:val="p"/>
          </m:rPr>
          <w:rPr>
            <w:rFonts w:ascii="Cambria Math" w:hAnsi="Cambria Math" w:cs="Simplified Arabic"/>
            <w:sz w:val="32"/>
            <w:szCs w:val="32"/>
          </w:rPr>
          <m:t>M</m:t>
        </m:r>
      </m:oMath>
      <w:r w:rsidRPr="00C96B1B">
        <w:rPr>
          <w:rFonts w:ascii="Simplified Arabic" w:hAnsi="Simplified Arabic" w:cs="Simplified Arabic"/>
          <w:sz w:val="32"/>
          <w:szCs w:val="32"/>
          <w:rtl/>
        </w:rPr>
        <w:t>: الهامش أو الربح المنتظر من الزبون خلال فترة محددة عادة تكون سنة</w:t>
      </w:r>
    </w:p>
    <w:p w:rsidR="0089450F" w:rsidRPr="00C96B1B"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Pr>
      </w:pPr>
      <w:r w:rsidRPr="00C96B1B">
        <w:rPr>
          <w:rFonts w:ascii="Simplified Arabic" w:hAnsi="Simplified Arabic" w:cs="Simplified Arabic"/>
          <w:sz w:val="32"/>
          <w:szCs w:val="32"/>
          <w:rtl/>
        </w:rPr>
        <w:t>قانون حساب القيمة العمرية للزبون 2:</w:t>
      </w:r>
    </w:p>
    <w:p w:rsidR="0089450F" w:rsidRPr="00C96B1B"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m:oMath>
        <m:r>
          <w:rPr>
            <w:rFonts w:ascii="Cambria Math" w:hAnsi="Cambria Math" w:cs="Simplified Arabic"/>
            <w:sz w:val="32"/>
            <w:szCs w:val="32"/>
          </w:rPr>
          <m:t>R</m:t>
        </m:r>
      </m:oMath>
      <w:r w:rsidRPr="00C96B1B">
        <w:rPr>
          <w:rFonts w:ascii="Simplified Arabic" w:hAnsi="Simplified Arabic" w:cs="Simplified Arabic"/>
          <w:sz w:val="32"/>
          <w:szCs w:val="32"/>
          <w:rtl/>
        </w:rPr>
        <w:t>: نسبة الاحتفاظ بالزبائن</w:t>
      </w:r>
    </w:p>
    <w:p w:rsidR="0089450F" w:rsidRPr="00C96B1B"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m:oMath>
        <m:r>
          <w:rPr>
            <w:rFonts w:ascii="Cambria Math" w:hAnsi="Cambria Math" w:cs="Simplified Arabic"/>
            <w:sz w:val="32"/>
            <w:szCs w:val="32"/>
          </w:rPr>
          <m:t>I</m:t>
        </m:r>
      </m:oMath>
      <w:r w:rsidRPr="00C96B1B">
        <w:rPr>
          <w:rFonts w:ascii="Simplified Arabic" w:hAnsi="Simplified Arabic" w:cs="Simplified Arabic"/>
          <w:sz w:val="32"/>
          <w:szCs w:val="32"/>
          <w:rtl/>
        </w:rPr>
        <w:t>: نسبة الخصم</w:t>
      </w:r>
    </w:p>
    <w:p w:rsidR="0089450F" w:rsidRDefault="0089450F" w:rsidP="0089450F">
      <w:pPr>
        <w:spacing w:after="120" w:line="276" w:lineRule="auto"/>
        <w:ind w:left="-1" w:firstLine="425"/>
        <w:jc w:val="lowKashida"/>
        <w:rPr>
          <w:rFonts w:ascii="Simplified Arabic" w:eastAsia="Times New Roman" w:hAnsi="Simplified Arabic" w:cs="Simplified Arabic"/>
          <w:sz w:val="32"/>
          <w:szCs w:val="32"/>
          <w:rtl/>
          <w:lang w:bidi="ar-DZ"/>
        </w:rPr>
      </w:pPr>
      <w:r w:rsidRPr="00C96B1B">
        <w:rPr>
          <w:rFonts w:ascii="Simplified Arabic" w:eastAsia="Times New Roman" w:hAnsi="Simplified Arabic" w:cs="Simplified Arabic"/>
          <w:sz w:val="32"/>
          <w:szCs w:val="32"/>
          <w:rtl/>
        </w:rPr>
        <w:t>عادة ما تكون نسبة الاحتفاظ تتراوح بين 60 و 90 بالمئة</w:t>
      </w:r>
      <w:r w:rsidRPr="009D743A">
        <w:rPr>
          <w:rFonts w:asciiTheme="majorBidi" w:hAnsiTheme="majorBidi" w:cstheme="majorBidi"/>
          <w:sz w:val="28"/>
          <w:szCs w:val="28"/>
          <w:highlight w:val="yellow"/>
        </w:rPr>
        <w:t>Francis Buttle, Op-Cit,</w:t>
      </w:r>
      <w:r w:rsidRPr="009D743A">
        <w:rPr>
          <w:rFonts w:asciiTheme="majorBidi" w:hAnsiTheme="majorBidi" w:cstheme="majorBidi"/>
          <w:sz w:val="28"/>
          <w:szCs w:val="28"/>
          <w:highlight w:val="yellow"/>
          <w:lang w:val="fr-FR"/>
        </w:rPr>
        <w:t>P141</w:t>
      </w:r>
      <w:r>
        <w:rPr>
          <w:rFonts w:ascii="Simplified Arabic" w:eastAsia="Times New Roman" w:hAnsi="Simplified Arabic" w:cs="Simplified Arabic" w:hint="cs"/>
          <w:sz w:val="32"/>
          <w:szCs w:val="32"/>
          <w:rtl/>
          <w:lang w:bidi="ar-DZ"/>
        </w:rPr>
        <w:t>،</w:t>
      </w:r>
      <w:r w:rsidRPr="00C96B1B">
        <w:rPr>
          <w:rFonts w:ascii="Simplified Arabic" w:eastAsia="Times New Roman" w:hAnsi="Simplified Arabic" w:cs="Simplified Arabic"/>
          <w:sz w:val="32"/>
          <w:szCs w:val="32"/>
          <w:rtl/>
        </w:rPr>
        <w:t xml:space="preserve"> في حين نسبة الخصم تكون تتراوح بين 8 و15 بالمئة</w:t>
      </w:r>
      <w:sdt>
        <w:sdtPr>
          <w:rPr>
            <w:rFonts w:ascii="Simplified Arabic" w:eastAsia="Times New Roman" w:hAnsi="Simplified Arabic" w:cs="Simplified Arabic" w:hint="cs"/>
            <w:sz w:val="32"/>
            <w:szCs w:val="32"/>
            <w:rtl/>
          </w:rPr>
          <w:id w:val="1698123849"/>
          <w:citation/>
        </w:sdtPr>
        <w:sdtContent>
          <w:r w:rsidRPr="00916D1F">
            <w:rPr>
              <w:rFonts w:asciiTheme="majorBidi" w:eastAsia="Times New Roman" w:hAnsiTheme="majorBidi" w:cstheme="majorBidi"/>
              <w:sz w:val="28"/>
              <w:szCs w:val="28"/>
              <w:rtl/>
            </w:rPr>
            <w:fldChar w:fldCharType="begin"/>
          </w:r>
          <w:r w:rsidRPr="00916D1F">
            <w:rPr>
              <w:rFonts w:asciiTheme="majorBidi" w:eastAsia="Times New Roman" w:hAnsiTheme="majorBidi" w:cstheme="majorBidi"/>
              <w:sz w:val="28"/>
              <w:szCs w:val="28"/>
              <w:lang w:val="fr-FR"/>
            </w:rPr>
            <w:instrText>CITATIONMel \l 1036</w:instrText>
          </w:r>
          <w:r w:rsidRPr="00916D1F">
            <w:rPr>
              <w:rFonts w:asciiTheme="majorBidi" w:eastAsia="Times New Roman" w:hAnsiTheme="majorBidi" w:cstheme="majorBidi"/>
              <w:sz w:val="28"/>
              <w:szCs w:val="28"/>
              <w:rtl/>
            </w:rPr>
            <w:fldChar w:fldCharType="separate"/>
          </w:r>
          <w:r w:rsidRPr="00B734C8">
            <w:rPr>
              <w:rFonts w:asciiTheme="majorBidi" w:eastAsia="Times New Roman" w:hAnsiTheme="majorBidi" w:cstheme="majorBidi"/>
              <w:noProof/>
              <w:sz w:val="28"/>
              <w:szCs w:val="28"/>
              <w:rtl/>
              <w:lang w:val="fr-FR"/>
            </w:rPr>
            <w:t>(</w:t>
          </w:r>
          <w:r w:rsidRPr="00B734C8">
            <w:rPr>
              <w:rFonts w:asciiTheme="majorBidi" w:eastAsia="Times New Roman" w:hAnsiTheme="majorBidi" w:cstheme="majorBidi"/>
              <w:noProof/>
              <w:sz w:val="28"/>
              <w:szCs w:val="28"/>
              <w:lang w:val="fr-FR"/>
            </w:rPr>
            <w:t>Melaney</w:t>
          </w:r>
          <w:r w:rsidRPr="00B734C8">
            <w:rPr>
              <w:rFonts w:asciiTheme="majorBidi" w:eastAsia="Times New Roman" w:hAnsiTheme="majorBidi" w:cstheme="majorBidi"/>
              <w:noProof/>
              <w:sz w:val="28"/>
              <w:szCs w:val="28"/>
              <w:rtl/>
              <w:lang w:val="fr-FR"/>
            </w:rPr>
            <w:t>)</w:t>
          </w:r>
          <w:r w:rsidRPr="00916D1F">
            <w:rPr>
              <w:rFonts w:asciiTheme="majorBidi" w:eastAsia="Times New Roman" w:hAnsiTheme="majorBidi" w:cstheme="majorBidi"/>
              <w:sz w:val="28"/>
              <w:szCs w:val="28"/>
              <w:rtl/>
            </w:rPr>
            <w:fldChar w:fldCharType="end"/>
          </w:r>
        </w:sdtContent>
      </w:sdt>
      <w:r>
        <w:rPr>
          <w:rFonts w:ascii="Simplified Arabic" w:eastAsia="Times New Roman" w:hAnsi="Simplified Arabic" w:cs="Simplified Arabic" w:hint="cs"/>
          <w:sz w:val="32"/>
          <w:szCs w:val="32"/>
          <w:rtl/>
        </w:rPr>
        <w:t>.</w:t>
      </w:r>
      <w:r w:rsidRPr="00C96B1B">
        <w:rPr>
          <w:rFonts w:ascii="Simplified Arabic" w:eastAsia="Times New Roman" w:hAnsi="Simplified Arabic" w:cs="Simplified Arabic"/>
          <w:sz w:val="32"/>
          <w:szCs w:val="32"/>
          <w:rtl/>
        </w:rPr>
        <w:t xml:space="preserve"> كما نشير إلى أن الخصم يحدد ضمن مراحل حساب المتوسط المرجح لتكلفة رأس المال</w:t>
      </w:r>
      <w:r w:rsidRPr="009D743A">
        <w:rPr>
          <w:rStyle w:val="Appelnotedebasdep"/>
          <w:rFonts w:ascii="Simplified Arabic" w:hAnsi="Simplified Arabic" w:cs="Simplified Arabic"/>
          <w:sz w:val="36"/>
          <w:szCs w:val="36"/>
          <w:rtl/>
          <w:lang w:bidi="ar-DZ"/>
        </w:rPr>
        <w:footnoteReference w:customMarkFollows="1" w:id="3"/>
        <w:t>*</w:t>
      </w:r>
      <w:r>
        <w:rPr>
          <w:rFonts w:ascii="Simplified Arabic" w:hAnsi="Simplified Arabic" w:cs="Simplified Arabic" w:hint="cs"/>
          <w:sz w:val="32"/>
          <w:szCs w:val="32"/>
          <w:vertAlign w:val="superscript"/>
          <w:rtl/>
        </w:rPr>
        <w:t>.</w:t>
      </w:r>
      <w:r w:rsidRPr="009D743A">
        <w:rPr>
          <w:rFonts w:asciiTheme="majorBidi" w:hAnsiTheme="majorBidi" w:cstheme="majorBidi"/>
          <w:sz w:val="28"/>
          <w:szCs w:val="28"/>
          <w:highlight w:val="yellow"/>
        </w:rPr>
        <w:t>Francis Buttle, Op-Cit,</w:t>
      </w:r>
      <w:r w:rsidRPr="009D743A">
        <w:rPr>
          <w:rFonts w:asciiTheme="majorBidi" w:hAnsiTheme="majorBidi" w:cstheme="majorBidi"/>
          <w:sz w:val="28"/>
          <w:szCs w:val="28"/>
          <w:highlight w:val="yellow"/>
          <w:lang w:val="fr-FR"/>
        </w:rPr>
        <w:t>P141</w:t>
      </w:r>
    </w:p>
    <w:p w:rsidR="0089450F" w:rsidRPr="0083664B" w:rsidRDefault="0089450F" w:rsidP="0089450F">
      <w:pPr>
        <w:spacing w:after="120" w:line="276" w:lineRule="auto"/>
        <w:ind w:left="-1" w:firstLine="425"/>
        <w:jc w:val="lowKashida"/>
        <w:rPr>
          <w:rFonts w:ascii="Simplified Arabic" w:eastAsia="Times New Roman" w:hAnsi="Simplified Arabic" w:cs="Simplified Arabic"/>
          <w:sz w:val="32"/>
          <w:szCs w:val="32"/>
          <w:rtl/>
          <w:lang w:bidi="ar-DZ"/>
        </w:rPr>
      </w:pPr>
      <w:r w:rsidRPr="00C96B1B">
        <w:rPr>
          <w:rFonts w:ascii="Simplified Arabic" w:eastAsia="Times New Roman" w:hAnsi="Simplified Arabic" w:cs="Simplified Arabic"/>
          <w:sz w:val="32"/>
          <w:szCs w:val="32"/>
          <w:rtl/>
        </w:rPr>
        <w:t xml:space="preserve">هذا هو القانون العام وهناك حالات خاصة مثل العائد في بداية السنة فنظيف قيمته إلى هذا القانون كما يمكن أن تكون المدة الزمنية محددة لأن القانون مقدم في حالة المدة الزمنية مفتوحة إلى ما لانهاية غير أن القانون يبقى نفسه لأن الجزء المضاف إلى القانون </w:t>
      </w:r>
      <w:r w:rsidRPr="00C96B1B">
        <w:rPr>
          <w:rFonts w:ascii="Simplified Arabic" w:eastAsia="Times New Roman" w:hAnsi="Simplified Arabic" w:cs="Simplified Arabic"/>
          <w:sz w:val="32"/>
          <w:szCs w:val="32"/>
          <w:rtl/>
        </w:rPr>
        <w:lastRenderedPageBreak/>
        <w:t>يؤول إلى الواحد، ويكون أن القانون يصبح كما يلي:</w:t>
      </w:r>
      <w:sdt>
        <w:sdtPr>
          <w:rPr>
            <w:rFonts w:ascii="Simplified Arabic" w:eastAsia="Times New Roman" w:hAnsi="Simplified Arabic" w:cs="Simplified Arabic" w:hint="cs"/>
            <w:sz w:val="32"/>
            <w:szCs w:val="32"/>
            <w:rtl/>
            <w:lang w:bidi="ar-DZ"/>
          </w:rPr>
          <w:id w:val="599610361"/>
          <w:citation/>
        </w:sdtPr>
        <w:sdtContent>
          <w:r>
            <w:rPr>
              <w:rFonts w:ascii="Simplified Arabic" w:eastAsia="Times New Roman" w:hAnsi="Simplified Arabic" w:cs="Simplified Arabic"/>
              <w:sz w:val="32"/>
              <w:szCs w:val="32"/>
              <w:rtl/>
              <w:lang w:bidi="ar-DZ"/>
            </w:rPr>
            <w:fldChar w:fldCharType="begin"/>
          </w:r>
          <w:r>
            <w:rPr>
              <w:rFonts w:ascii="Simplified Arabic" w:eastAsia="Times New Roman" w:hAnsi="Simplified Arabic" w:cs="Simplified Arabic"/>
              <w:sz w:val="32"/>
              <w:szCs w:val="32"/>
              <w:lang w:bidi="ar-DZ"/>
            </w:rPr>
            <w:instrText>CITATION</w:instrText>
          </w:r>
          <w:r>
            <w:rPr>
              <w:rFonts w:ascii="Simplified Arabic" w:eastAsia="Times New Roman" w:hAnsi="Simplified Arabic" w:cs="Simplified Arabic"/>
              <w:sz w:val="32"/>
              <w:szCs w:val="32"/>
              <w:rtl/>
              <w:lang w:bidi="ar-DZ"/>
            </w:rPr>
            <w:instrText xml:space="preserve"> غوي06 \</w:instrText>
          </w:r>
          <w:r>
            <w:rPr>
              <w:rFonts w:ascii="Simplified Arabic" w:eastAsia="Times New Roman" w:hAnsi="Simplified Arabic" w:cs="Simplified Arabic"/>
              <w:sz w:val="32"/>
              <w:szCs w:val="32"/>
              <w:lang w:bidi="ar-DZ"/>
            </w:rPr>
            <w:instrText>p 256 \l 5121</w:instrText>
          </w:r>
          <w:r>
            <w:rPr>
              <w:rFonts w:ascii="Simplified Arabic" w:eastAsia="Times New Roman" w:hAnsi="Simplified Arabic" w:cs="Simplified Arabic"/>
              <w:sz w:val="32"/>
              <w:szCs w:val="32"/>
              <w:rtl/>
              <w:lang w:bidi="ar-DZ"/>
            </w:rPr>
            <w:fldChar w:fldCharType="separate"/>
          </w:r>
          <w:r w:rsidRPr="00B734C8">
            <w:rPr>
              <w:rFonts w:ascii="Simplified Arabic" w:eastAsia="Times New Roman" w:hAnsi="Simplified Arabic" w:cs="Simplified Arabic" w:hint="cs"/>
              <w:noProof/>
              <w:sz w:val="32"/>
              <w:szCs w:val="32"/>
              <w:rtl/>
              <w:lang w:bidi="ar-DZ"/>
            </w:rPr>
            <w:t>(غويتا، وآخرون، 2006 صفحة 256)</w:t>
          </w:r>
          <w:r>
            <w:rPr>
              <w:rFonts w:ascii="Simplified Arabic" w:eastAsia="Times New Roman" w:hAnsi="Simplified Arabic" w:cs="Simplified Arabic"/>
              <w:sz w:val="32"/>
              <w:szCs w:val="32"/>
              <w:rtl/>
              <w:lang w:bidi="ar-DZ"/>
            </w:rPr>
            <w:fldChar w:fldCharType="end"/>
          </w:r>
        </w:sdtContent>
      </w:sdt>
      <w:r>
        <w:rPr>
          <w:rFonts w:ascii="Simplified Arabic" w:eastAsia="Times New Roman" w:hAnsi="Simplified Arabic" w:cs="Simplified Arabic" w:hint="cs"/>
          <w:sz w:val="32"/>
          <w:szCs w:val="32"/>
          <w:rtl/>
          <w:lang w:bidi="ar-DZ"/>
        </w:rPr>
        <w:t>.</w:t>
      </w:r>
      <w:r w:rsidRPr="009D743A">
        <w:rPr>
          <w:rStyle w:val="Appelnotedebasdep"/>
          <w:rFonts w:ascii="Simplified Arabic" w:hAnsi="Simplified Arabic" w:cs="Simplified Arabic"/>
          <w:sz w:val="36"/>
          <w:szCs w:val="36"/>
          <w:rtl/>
          <w:lang w:bidi="ar-DZ"/>
        </w:rPr>
        <w:footnoteReference w:customMarkFollows="1" w:id="4"/>
        <w:t>*</w:t>
      </w:r>
    </w:p>
    <w:p w:rsidR="0089450F" w:rsidRPr="00C96B1B" w:rsidRDefault="0089450F" w:rsidP="0089450F">
      <w:pPr>
        <w:spacing w:after="120" w:line="276" w:lineRule="auto"/>
        <w:ind w:left="-1" w:firstLine="425"/>
        <w:jc w:val="lowKashida"/>
        <w:rPr>
          <w:rFonts w:ascii="Simplified Arabic" w:eastAsia="Times New Roman" w:hAnsi="Simplified Arabic" w:cs="Simplified Arabic"/>
          <w:sz w:val="32"/>
          <w:szCs w:val="32"/>
        </w:rPr>
      </w:pPr>
      <m:oMathPara>
        <m:oMath>
          <m:r>
            <w:rPr>
              <w:rFonts w:ascii="Cambria Math" w:eastAsia="Times New Roman" w:hAnsi="Cambria Math" w:cs="Simplified Arabic"/>
              <w:sz w:val="32"/>
              <w:szCs w:val="32"/>
            </w:rPr>
            <m:t xml:space="preserve">LTV =m </m:t>
          </m:r>
          <m:d>
            <m:dPr>
              <m:ctrlPr>
                <w:rPr>
                  <w:rFonts w:ascii="Cambria Math" w:eastAsia="Times New Roman" w:hAnsi="Cambria Math" w:cs="Simplified Arabic"/>
                  <w:i/>
                  <w:sz w:val="32"/>
                  <w:szCs w:val="32"/>
                </w:rPr>
              </m:ctrlPr>
            </m:dPr>
            <m:e>
              <m:f>
                <m:fPr>
                  <m:ctrlPr>
                    <w:rPr>
                      <w:rFonts w:ascii="Cambria Math" w:eastAsia="Times New Roman" w:hAnsi="Cambria Math" w:cs="Simplified Arabic"/>
                      <w:i/>
                      <w:sz w:val="32"/>
                      <w:szCs w:val="32"/>
                    </w:rPr>
                  </m:ctrlPr>
                </m:fPr>
                <m:num>
                  <m:r>
                    <w:rPr>
                      <w:rFonts w:ascii="Cambria Math" w:eastAsia="Times New Roman" w:hAnsi="Cambria Math" w:cs="Simplified Arabic"/>
                      <w:sz w:val="32"/>
                      <w:szCs w:val="32"/>
                    </w:rPr>
                    <m:t>r</m:t>
                  </m:r>
                </m:num>
                <m:den>
                  <m:r>
                    <w:rPr>
                      <w:rFonts w:ascii="Cambria Math" w:eastAsia="Times New Roman" w:hAnsi="Cambria Math" w:cs="Simplified Arabic"/>
                      <w:sz w:val="32"/>
                      <w:szCs w:val="32"/>
                    </w:rPr>
                    <m:t>1+i-r</m:t>
                  </m:r>
                </m:den>
              </m:f>
            </m:e>
          </m:d>
          <m:d>
            <m:dPr>
              <m:begChr m:val="["/>
              <m:endChr m:val="]"/>
              <m:ctrlPr>
                <w:rPr>
                  <w:rFonts w:ascii="Cambria Math" w:eastAsia="Times New Roman" w:hAnsi="Cambria Math" w:cs="Simplified Arabic"/>
                  <w:i/>
                  <w:sz w:val="32"/>
                  <w:szCs w:val="32"/>
                </w:rPr>
              </m:ctrlPr>
            </m:dPr>
            <m:e>
              <m:r>
                <w:rPr>
                  <w:rFonts w:ascii="Cambria Math" w:eastAsia="Times New Roman" w:hAnsi="Cambria Math" w:cs="Simplified Arabic"/>
                  <w:sz w:val="32"/>
                  <w:szCs w:val="32"/>
                </w:rPr>
                <m:t>1-</m:t>
              </m:r>
              <m:sSup>
                <m:sSupPr>
                  <m:ctrlPr>
                    <w:rPr>
                      <w:rFonts w:ascii="Cambria Math" w:eastAsia="Times New Roman" w:hAnsi="Cambria Math" w:cs="Simplified Arabic"/>
                      <w:i/>
                      <w:sz w:val="32"/>
                      <w:szCs w:val="32"/>
                    </w:rPr>
                  </m:ctrlPr>
                </m:sSupPr>
                <m:e>
                  <m:d>
                    <m:dPr>
                      <m:ctrlPr>
                        <w:rPr>
                          <w:rFonts w:ascii="Cambria Math" w:eastAsia="Times New Roman" w:hAnsi="Cambria Math" w:cs="Simplified Arabic"/>
                          <w:i/>
                          <w:sz w:val="32"/>
                          <w:szCs w:val="32"/>
                        </w:rPr>
                      </m:ctrlPr>
                    </m:dPr>
                    <m:e>
                      <m:f>
                        <m:fPr>
                          <m:ctrlPr>
                            <w:rPr>
                              <w:rFonts w:ascii="Cambria Math" w:eastAsia="Times New Roman" w:hAnsi="Cambria Math" w:cs="Simplified Arabic"/>
                              <w:i/>
                              <w:sz w:val="32"/>
                              <w:szCs w:val="32"/>
                            </w:rPr>
                          </m:ctrlPr>
                        </m:fPr>
                        <m:num>
                          <m:r>
                            <w:rPr>
                              <w:rFonts w:ascii="Cambria Math" w:eastAsia="Times New Roman" w:hAnsi="Cambria Math" w:cs="Simplified Arabic"/>
                              <w:sz w:val="32"/>
                              <w:szCs w:val="32"/>
                            </w:rPr>
                            <m:t>r</m:t>
                          </m:r>
                        </m:num>
                        <m:den>
                          <m:r>
                            <w:rPr>
                              <w:rFonts w:ascii="Cambria Math" w:eastAsia="Times New Roman" w:hAnsi="Cambria Math" w:cs="Simplified Arabic"/>
                              <w:sz w:val="32"/>
                              <w:szCs w:val="32"/>
                            </w:rPr>
                            <m:t>1+i</m:t>
                          </m:r>
                        </m:den>
                      </m:f>
                    </m:e>
                  </m:d>
                </m:e>
                <m:sup>
                  <m:r>
                    <w:rPr>
                      <w:rFonts w:ascii="Cambria Math" w:eastAsia="Times New Roman" w:hAnsi="Cambria Math" w:cs="Simplified Arabic"/>
                      <w:sz w:val="32"/>
                      <w:szCs w:val="32"/>
                    </w:rPr>
                    <m:t>n</m:t>
                  </m:r>
                </m:sup>
              </m:sSup>
            </m:e>
          </m:d>
        </m:oMath>
      </m:oMathPara>
    </w:p>
    <w:p w:rsidR="0089450F" w:rsidRPr="00C96B1B" w:rsidRDefault="0089450F" w:rsidP="0089450F">
      <w:pPr>
        <w:spacing w:after="120" w:line="276" w:lineRule="auto"/>
        <w:ind w:left="-1" w:firstLine="425"/>
        <w:jc w:val="lowKashida"/>
        <w:rPr>
          <w:rFonts w:ascii="Simplified Arabic" w:eastAsia="Times New Roman" w:hAnsi="Simplified Arabic" w:cs="Simplified Arabic"/>
          <w:sz w:val="32"/>
          <w:szCs w:val="32"/>
          <w:rtl/>
          <w:lang w:bidi="ar-DZ"/>
        </w:rPr>
      </w:pPr>
      <w:r w:rsidRPr="00C96B1B">
        <w:rPr>
          <w:rFonts w:ascii="Simplified Arabic" w:eastAsia="Times New Roman" w:hAnsi="Simplified Arabic" w:cs="Simplified Arabic"/>
          <w:sz w:val="32"/>
          <w:szCs w:val="32"/>
          <w:rtl/>
        </w:rPr>
        <w:t xml:space="preserve">ولقد ميز </w:t>
      </w:r>
      <w:r w:rsidRPr="002A73AF">
        <w:rPr>
          <w:rFonts w:asciiTheme="majorBidi" w:eastAsia="Times New Roman" w:hAnsiTheme="majorBidi" w:cstheme="majorBidi"/>
          <w:sz w:val="28"/>
          <w:szCs w:val="28"/>
        </w:rPr>
        <w:t>Wayland</w:t>
      </w:r>
      <w:r w:rsidRPr="00C96B1B">
        <w:rPr>
          <w:rFonts w:ascii="Simplified Arabic" w:eastAsia="Times New Roman" w:hAnsi="Simplified Arabic" w:cs="Simplified Arabic"/>
          <w:sz w:val="32"/>
          <w:szCs w:val="32"/>
        </w:rPr>
        <w:t xml:space="preserve">, </w:t>
      </w:r>
      <w:r w:rsidRPr="002A73AF">
        <w:rPr>
          <w:rFonts w:asciiTheme="majorBidi" w:eastAsia="Times New Roman" w:hAnsiTheme="majorBidi" w:cstheme="majorBidi"/>
          <w:sz w:val="28"/>
          <w:szCs w:val="28"/>
        </w:rPr>
        <w:t>Robert</w:t>
      </w:r>
      <w:r w:rsidRPr="00C96B1B">
        <w:rPr>
          <w:rFonts w:ascii="Simplified Arabic" w:eastAsia="Times New Roman" w:hAnsi="Simplified Arabic" w:cs="Simplified Arabic"/>
          <w:sz w:val="32"/>
          <w:szCs w:val="32"/>
          <w:rtl/>
        </w:rPr>
        <w:t xml:space="preserve"> بين ربحية الزبون وقيمة الشركاء</w:t>
      </w:r>
      <w:r>
        <w:rPr>
          <w:rFonts w:ascii="Simplified Arabic" w:eastAsia="Times New Roman" w:hAnsi="Simplified Arabic" w:cs="Simplified Arabic" w:hint="cs"/>
          <w:sz w:val="32"/>
          <w:szCs w:val="32"/>
          <w:rtl/>
          <w:lang w:bidi="ar-DZ"/>
        </w:rPr>
        <w:t>،</w:t>
      </w:r>
      <w:r w:rsidRPr="00C96B1B">
        <w:rPr>
          <w:rFonts w:ascii="Simplified Arabic" w:eastAsia="Times New Roman" w:hAnsi="Simplified Arabic" w:cs="Simplified Arabic"/>
          <w:sz w:val="32"/>
          <w:szCs w:val="32"/>
          <w:rtl/>
        </w:rPr>
        <w:t xml:space="preserve"> بحيث يعتبر أن ربحية الزبون هي ما يعكس قيمـــةالشركاء</w:t>
      </w:r>
      <w:sdt>
        <w:sdtPr>
          <w:rPr>
            <w:rFonts w:ascii="Simplified Arabic" w:eastAsia="Times New Roman" w:hAnsi="Simplified Arabic" w:cs="Simplified Arabic" w:hint="cs"/>
            <w:sz w:val="32"/>
            <w:szCs w:val="32"/>
            <w:rtl/>
            <w:lang w:bidi="ar-DZ"/>
          </w:rPr>
          <w:id w:val="425307727"/>
          <w:citation/>
        </w:sdtPr>
        <w:sdtContent>
          <w:r w:rsidRPr="006C5A76">
            <w:rPr>
              <w:rFonts w:asciiTheme="majorBidi" w:eastAsia="Times New Roman" w:hAnsiTheme="majorBidi" w:cstheme="majorBidi"/>
              <w:sz w:val="28"/>
              <w:szCs w:val="28"/>
              <w:rtl/>
              <w:lang w:bidi="ar-DZ"/>
            </w:rPr>
            <w:fldChar w:fldCharType="begin"/>
          </w:r>
          <w:r w:rsidRPr="006C5A76">
            <w:rPr>
              <w:rFonts w:asciiTheme="majorBidi" w:eastAsia="Times New Roman" w:hAnsiTheme="majorBidi" w:cstheme="majorBidi"/>
              <w:sz w:val="28"/>
              <w:szCs w:val="28"/>
              <w:lang w:val="fr-FR" w:bidi="ar-DZ"/>
            </w:rPr>
            <w:instrText>CITATION Way97 \p 06 \l 1036</w:instrText>
          </w:r>
          <w:r w:rsidRPr="006C5A76">
            <w:rPr>
              <w:rFonts w:asciiTheme="majorBidi" w:eastAsia="Times New Roman" w:hAnsiTheme="majorBidi" w:cstheme="majorBidi"/>
              <w:sz w:val="28"/>
              <w:szCs w:val="28"/>
              <w:rtl/>
              <w:lang w:bidi="ar-DZ"/>
            </w:rPr>
            <w:fldChar w:fldCharType="separate"/>
          </w:r>
          <w:r w:rsidRPr="00B734C8">
            <w:rPr>
              <w:rFonts w:asciiTheme="majorBidi" w:eastAsia="Times New Roman" w:hAnsiTheme="majorBidi" w:cstheme="majorBidi"/>
              <w:noProof/>
              <w:sz w:val="28"/>
              <w:szCs w:val="28"/>
              <w:rtl/>
              <w:lang w:bidi="ar-DZ"/>
            </w:rPr>
            <w:t>(</w:t>
          </w:r>
          <w:r w:rsidRPr="00B734C8">
            <w:rPr>
              <w:rFonts w:asciiTheme="majorBidi" w:eastAsia="Times New Roman" w:hAnsiTheme="majorBidi" w:cstheme="majorBidi"/>
              <w:noProof/>
              <w:sz w:val="28"/>
              <w:szCs w:val="28"/>
              <w:lang w:bidi="ar-DZ"/>
            </w:rPr>
            <w:t>Wayland, et al., 1997 p. 06</w:t>
          </w:r>
          <w:r w:rsidRPr="00B734C8">
            <w:rPr>
              <w:rFonts w:asciiTheme="majorBidi" w:eastAsia="Times New Roman" w:hAnsiTheme="majorBidi" w:cstheme="majorBidi"/>
              <w:noProof/>
              <w:sz w:val="28"/>
              <w:szCs w:val="28"/>
              <w:rtl/>
              <w:lang w:bidi="ar-DZ"/>
            </w:rPr>
            <w:t>)</w:t>
          </w:r>
          <w:r w:rsidRPr="006C5A76">
            <w:rPr>
              <w:rFonts w:asciiTheme="majorBidi" w:eastAsia="Times New Roman" w:hAnsiTheme="majorBidi" w:cstheme="majorBidi"/>
              <w:sz w:val="28"/>
              <w:szCs w:val="28"/>
              <w:rtl/>
              <w:lang w:bidi="ar-DZ"/>
            </w:rPr>
            <w:fldChar w:fldCharType="end"/>
          </w:r>
        </w:sdtContent>
      </w:sdt>
      <w:r>
        <w:rPr>
          <w:rFonts w:ascii="Simplified Arabic" w:eastAsia="Times New Roman" w:hAnsi="Simplified Arabic" w:cs="Simplified Arabic"/>
          <w:sz w:val="32"/>
          <w:szCs w:val="32"/>
          <w:rtl/>
        </w:rPr>
        <w:t>.</w:t>
      </w:r>
    </w:p>
    <w:p w:rsidR="0089450F" w:rsidRPr="00C96B1B"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50719D">
        <w:rPr>
          <w:rFonts w:ascii="Simplified Arabic" w:hAnsi="Simplified Arabic" w:cs="Simplified Arabic"/>
          <w:b/>
          <w:bCs/>
          <w:sz w:val="32"/>
          <w:szCs w:val="32"/>
          <w:rtl/>
        </w:rPr>
        <w:t>3</w:t>
      </w:r>
      <w:r w:rsidRPr="0050719D">
        <w:rPr>
          <w:rFonts w:ascii="Simplified Arabic" w:hAnsi="Simplified Arabic" w:cs="Simplified Arabic" w:hint="cs"/>
          <w:b/>
          <w:bCs/>
          <w:sz w:val="32"/>
          <w:szCs w:val="32"/>
          <w:rtl/>
        </w:rPr>
        <w:t>-</w:t>
      </w:r>
      <w:r w:rsidRPr="0050719D">
        <w:rPr>
          <w:rFonts w:ascii="Simplified Arabic" w:hAnsi="Simplified Arabic" w:cs="Simplified Arabic"/>
          <w:b/>
          <w:bCs/>
          <w:sz w:val="32"/>
          <w:szCs w:val="32"/>
          <w:rtl/>
        </w:rPr>
        <w:t xml:space="preserve"> تقييم مفعول النشاط التسويقي على القيمة</w:t>
      </w:r>
      <w:r w:rsidRPr="00C96B1B">
        <w:rPr>
          <w:rFonts w:ascii="Simplified Arabic" w:hAnsi="Simplified Arabic" w:cs="Simplified Arabic"/>
          <w:sz w:val="32"/>
          <w:szCs w:val="32"/>
          <w:rtl/>
        </w:rPr>
        <w:t>: يتضمن التسويق إشباع حاجات الزبائن ورغباتهم وتهدف المؤسسة ضمن نشاطها إلى الوصول إلى الأرباح من خلال قيمة الزبون كمرتكز أساسي في تحقيق الاستمرار في ظل وجود مستوى عالي من مسببات الرشادة عند المستهلك المستمدة بشكل دقيق من مجهود الفاعلين في السوق من مكونات البيئة التسويقية من منافسين ومنظمات وقوانين ...الخ. وبالتالي تعد أهم وسيلة لمواجهة التحديات هي مدى نجاح المؤسسة في الوصول إلى أعلى قيمة للزبون وجعلها متناقلة بين الزبائن.</w:t>
      </w:r>
    </w:p>
    <w:p w:rsidR="0089450F" w:rsidRPr="00C96B1B" w:rsidRDefault="0089450F" w:rsidP="0089450F">
      <w:pPr>
        <w:pStyle w:val="NormalWeb"/>
        <w:bidi/>
        <w:spacing w:before="0" w:beforeAutospacing="0" w:after="120" w:afterAutospacing="0" w:line="276" w:lineRule="auto"/>
        <w:ind w:left="-1" w:firstLine="425"/>
        <w:jc w:val="lowKashida"/>
        <w:rPr>
          <w:rFonts w:ascii="Simplified Arabic" w:hAnsi="Simplified Arabic" w:cs="Simplified Arabic"/>
          <w:sz w:val="32"/>
          <w:szCs w:val="32"/>
          <w:rtl/>
        </w:rPr>
      </w:pPr>
      <w:r w:rsidRPr="00C96B1B">
        <w:rPr>
          <w:rFonts w:ascii="Simplified Arabic" w:hAnsi="Simplified Arabic" w:cs="Simplified Arabic"/>
          <w:sz w:val="32"/>
          <w:szCs w:val="32"/>
          <w:rtl/>
        </w:rPr>
        <w:t>يعتمد تقسيم الزبائن بشكل كبير على الفترة الزمنية لقيمة هؤلاء الزبائن</w:t>
      </w:r>
      <w:r>
        <w:rPr>
          <w:rFonts w:ascii="Simplified Arabic" w:hAnsi="Simplified Arabic" w:cs="Simplified Arabic" w:hint="cs"/>
          <w:sz w:val="32"/>
          <w:szCs w:val="32"/>
          <w:rtl/>
        </w:rPr>
        <w:t>،</w:t>
      </w:r>
      <w:r w:rsidRPr="00C96B1B">
        <w:rPr>
          <w:rFonts w:ascii="Simplified Arabic" w:hAnsi="Simplified Arabic" w:cs="Simplified Arabic"/>
          <w:sz w:val="32"/>
          <w:szCs w:val="32"/>
          <w:rtl/>
        </w:rPr>
        <w:t xml:space="preserve"> فهي ذات فاعلية كبيرة في استهدافهم بتوجيه مزيج تسويقي يعزز قيمة الزبون باعتبارها مفتاح بناء علاقة ناجحة تؤدي إلى أفضل رضا وقيمة مم</w:t>
      </w:r>
      <w:r>
        <w:rPr>
          <w:rFonts w:ascii="Simplified Arabic" w:hAnsi="Simplified Arabic" w:cs="Simplified Arabic" w:hint="cs"/>
          <w:sz w:val="32"/>
          <w:szCs w:val="32"/>
          <w:rtl/>
        </w:rPr>
        <w:t>َّ</w:t>
      </w:r>
      <w:r w:rsidRPr="00C96B1B">
        <w:rPr>
          <w:rFonts w:ascii="Simplified Arabic" w:hAnsi="Simplified Arabic" w:cs="Simplified Arabic"/>
          <w:sz w:val="32"/>
          <w:szCs w:val="32"/>
          <w:rtl/>
        </w:rPr>
        <w:t>ا ينعكس ايجاب</w:t>
      </w:r>
      <w:r>
        <w:rPr>
          <w:rFonts w:ascii="Simplified Arabic" w:hAnsi="Simplified Arabic" w:cs="Simplified Arabic" w:hint="cs"/>
          <w:sz w:val="32"/>
          <w:szCs w:val="32"/>
          <w:rtl/>
        </w:rPr>
        <w:t>ً</w:t>
      </w:r>
      <w:r w:rsidRPr="00C96B1B">
        <w:rPr>
          <w:rFonts w:ascii="Simplified Arabic" w:hAnsi="Simplified Arabic" w:cs="Simplified Arabic"/>
          <w:sz w:val="32"/>
          <w:szCs w:val="32"/>
          <w:rtl/>
        </w:rPr>
        <w:t>ا على أداء المؤسسة وولاء الزبون.</w:t>
      </w:r>
    </w:p>
    <w:p w:rsidR="009A17F6" w:rsidRDefault="009A17F6" w:rsidP="0089450F"/>
    <w:sectPr w:rsidR="009A17F6" w:rsidSect="009A17F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664" w:rsidRDefault="00D24664" w:rsidP="0089450F">
      <w:pPr>
        <w:spacing w:after="0" w:line="240" w:lineRule="auto"/>
      </w:pPr>
      <w:r>
        <w:separator/>
      </w:r>
    </w:p>
  </w:endnote>
  <w:endnote w:type="continuationSeparator" w:id="1">
    <w:p w:rsidR="00D24664" w:rsidRDefault="00D24664" w:rsidP="00894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664" w:rsidRDefault="00D24664" w:rsidP="0089450F">
      <w:pPr>
        <w:spacing w:after="0" w:line="240" w:lineRule="auto"/>
      </w:pPr>
      <w:r>
        <w:separator/>
      </w:r>
    </w:p>
  </w:footnote>
  <w:footnote w:type="continuationSeparator" w:id="1">
    <w:p w:rsidR="00D24664" w:rsidRDefault="00D24664" w:rsidP="0089450F">
      <w:pPr>
        <w:spacing w:after="0" w:line="240" w:lineRule="auto"/>
      </w:pPr>
      <w:r>
        <w:continuationSeparator/>
      </w:r>
    </w:p>
  </w:footnote>
  <w:footnote w:id="2">
    <w:p w:rsidR="0089450F" w:rsidRDefault="0089450F" w:rsidP="0089450F">
      <w:pPr>
        <w:pStyle w:val="NormalWeb"/>
        <w:bidi/>
        <w:spacing w:before="0" w:beforeAutospacing="0" w:after="120" w:afterAutospacing="0" w:line="276" w:lineRule="auto"/>
        <w:ind w:left="-1"/>
        <w:jc w:val="lowKashida"/>
        <w:rPr>
          <w:rFonts w:ascii="Simplified Arabic" w:hAnsi="Simplified Arabic" w:cs="Simplified Arabic"/>
          <w:rtl/>
          <w:lang w:bidi="ar-DZ"/>
        </w:rPr>
      </w:pPr>
      <w:r w:rsidRPr="001C2C0C">
        <w:rPr>
          <w:rStyle w:val="Appelnotedebasdep"/>
          <w:rtl/>
        </w:rPr>
        <w:t>*</w:t>
      </w:r>
      <w:r>
        <w:rPr>
          <w:rFonts w:hint="cs"/>
          <w:rtl/>
          <w:lang w:bidi="ar-DZ"/>
        </w:rPr>
        <w:t xml:space="preserve">- </w:t>
      </w:r>
      <w:r w:rsidRPr="00273526">
        <w:rPr>
          <w:rFonts w:ascii="Simplified Arabic" w:hAnsi="Simplified Arabic" w:cs="Simplified Arabic" w:hint="cs"/>
          <w:rtl/>
          <w:lang w:bidi="ar-DZ"/>
        </w:rPr>
        <w:t>(</w:t>
      </w:r>
      <w:r w:rsidRPr="00273526">
        <w:rPr>
          <w:rFonts w:ascii="Simplified Arabic" w:hAnsi="Simplified Arabic" w:cs="Simplified Arabic"/>
          <w:rtl/>
        </w:rPr>
        <w:t>مع الاشارة إلى أن رمز القيمة العمرية للزبون يمكن أن يختلف مع بقاء المعنى ثابت:</w:t>
      </w:r>
    </w:p>
    <w:p w:rsidR="0089450F" w:rsidRPr="009D743A" w:rsidRDefault="0089450F" w:rsidP="0089450F">
      <w:pPr>
        <w:pStyle w:val="NormalWeb"/>
        <w:spacing w:before="0" w:beforeAutospacing="0" w:after="120" w:afterAutospacing="0" w:line="276" w:lineRule="auto"/>
        <w:ind w:left="-1"/>
        <w:jc w:val="lowKashida"/>
        <w:rPr>
          <w:rFonts w:asciiTheme="majorBidi" w:hAnsiTheme="majorBidi" w:cstheme="majorBidi"/>
          <w:sz w:val="22"/>
          <w:szCs w:val="22"/>
          <w:rtl/>
        </w:rPr>
      </w:pPr>
      <w:r w:rsidRPr="00273526">
        <w:rPr>
          <w:rFonts w:asciiTheme="majorBidi" w:hAnsiTheme="majorBidi" w:cstheme="majorBidi"/>
          <w:sz w:val="22"/>
          <w:szCs w:val="22"/>
        </w:rPr>
        <w:t>C</w:t>
      </w:r>
      <w:r w:rsidRPr="009D743A">
        <w:rPr>
          <w:rFonts w:asciiTheme="majorBidi" w:hAnsiTheme="majorBidi" w:cstheme="majorBidi"/>
          <w:sz w:val="22"/>
          <w:szCs w:val="22"/>
        </w:rPr>
        <w:t>ustomer</w:t>
      </w:r>
      <w:r w:rsidRPr="00273526">
        <w:rPr>
          <w:rFonts w:asciiTheme="majorBidi" w:hAnsiTheme="majorBidi" w:cstheme="majorBidi"/>
          <w:sz w:val="22"/>
          <w:szCs w:val="22"/>
        </w:rPr>
        <w:t xml:space="preserve"> lifetime value (CLV), or lifetimehttp://en.wikipedia.org/wiki/Customer lifetime value (LCV), </w:t>
      </w:r>
      <w:r w:rsidRPr="009D743A">
        <w:rPr>
          <w:rFonts w:asciiTheme="majorBidi" w:hAnsiTheme="majorBidi" w:cstheme="majorBidi" w:hint="cs"/>
          <w:sz w:val="22"/>
          <w:szCs w:val="22"/>
          <w:rtl/>
        </w:rPr>
        <w:t>)</w:t>
      </w:r>
    </w:p>
    <w:p w:rsidR="0089450F" w:rsidRPr="001C2C0C" w:rsidRDefault="0089450F" w:rsidP="0089450F">
      <w:pPr>
        <w:pStyle w:val="NormalWeb"/>
        <w:bidi/>
        <w:spacing w:before="0" w:beforeAutospacing="0" w:after="120" w:afterAutospacing="0" w:line="276" w:lineRule="auto"/>
        <w:ind w:left="-1"/>
        <w:jc w:val="lowKashida"/>
        <w:rPr>
          <w:rtl/>
          <w:lang w:bidi="ar-DZ"/>
        </w:rPr>
      </w:pPr>
    </w:p>
  </w:footnote>
  <w:footnote w:id="3">
    <w:p w:rsidR="0089450F" w:rsidRPr="00F91A79" w:rsidRDefault="0089450F" w:rsidP="0089450F">
      <w:pPr>
        <w:bidi w:val="0"/>
        <w:spacing w:after="100" w:line="240" w:lineRule="auto"/>
        <w:rPr>
          <w:rFonts w:ascii="Times New Roman" w:eastAsia="Times New Roman" w:hAnsi="Times New Roman" w:cs="Times New Roman"/>
          <w:color w:val="080800"/>
          <w:sz w:val="18"/>
          <w:szCs w:val="18"/>
        </w:rPr>
      </w:pPr>
      <w:r w:rsidRPr="001C2C0C">
        <w:rPr>
          <w:rStyle w:val="Appelnotedebasdep"/>
          <w:sz w:val="24"/>
          <w:szCs w:val="24"/>
          <w:rtl/>
        </w:rPr>
        <w:t>*</w:t>
      </w:r>
      <w:r>
        <w:rPr>
          <w:rFonts w:hint="cs"/>
          <w:sz w:val="24"/>
          <w:szCs w:val="24"/>
          <w:rtl/>
          <w:lang w:bidi="ar-DZ"/>
        </w:rPr>
        <w:t xml:space="preserve">- </w:t>
      </w:r>
      <w:r w:rsidRPr="00F91A79">
        <w:rPr>
          <w:rFonts w:ascii="Times New Roman" w:eastAsia="Times New Roman" w:hAnsi="Times New Roman" w:cs="Times New Roman"/>
          <w:color w:val="080800"/>
          <w:sz w:val="18"/>
          <w:szCs w:val="18"/>
        </w:rPr>
        <w:t>4 The WACC equation is the cost of each capital component multiplied by its proportional weight and then summing:</w:t>
      </w:r>
    </w:p>
    <w:p w:rsidR="0089450F" w:rsidRPr="00F91A79" w:rsidRDefault="0089450F" w:rsidP="0089450F">
      <w:pPr>
        <w:bidi w:val="0"/>
        <w:spacing w:after="100" w:line="240" w:lineRule="auto"/>
        <w:rPr>
          <w:rFonts w:ascii="Times New Roman" w:eastAsia="Times New Roman" w:hAnsi="Times New Roman" w:cs="Times New Roman"/>
          <w:color w:val="080800"/>
          <w:sz w:val="18"/>
          <w:szCs w:val="18"/>
        </w:rPr>
      </w:pPr>
      <m:oMathPara>
        <m:oMath>
          <m:r>
            <m:rPr>
              <m:sty m:val="bi"/>
            </m:rPr>
            <w:rPr>
              <w:rFonts w:ascii="Cambria Math" w:eastAsia="Times New Roman" w:hAnsi="Cambria Math" w:cs="Times New Roman"/>
              <w:color w:val="080800"/>
              <w:sz w:val="18"/>
              <w:szCs w:val="18"/>
            </w:rPr>
            <m:t>WACC</m:t>
          </m:r>
          <m:r>
            <m:rPr>
              <m:sty m:val="p"/>
            </m:rPr>
            <w:rPr>
              <w:rFonts w:ascii="Cambria Math" w:eastAsia="Times New Roman" w:hAnsi="Cambria Math" w:cs="Times New Roman"/>
              <w:color w:val="080800"/>
              <w:sz w:val="18"/>
              <w:szCs w:val="18"/>
            </w:rPr>
            <m:t>=</m:t>
          </m:r>
          <m:box>
            <m:boxPr>
              <m:ctrlPr>
                <w:rPr>
                  <w:rFonts w:ascii="Cambria Math" w:eastAsia="Times New Roman" w:hAnsi="Cambria Math" w:cs="Times New Roman"/>
                  <w:color w:val="080800"/>
                  <w:sz w:val="18"/>
                  <w:szCs w:val="18"/>
                </w:rPr>
              </m:ctrlPr>
            </m:boxPr>
            <m:e>
              <m:argPr>
                <m:argSz m:val="-1"/>
              </m:argPr>
              <m:f>
                <m:fPr>
                  <m:ctrlPr>
                    <w:rPr>
                      <w:rFonts w:ascii="Cambria Math" w:eastAsia="Times New Roman" w:hAnsi="Cambria Math" w:cs="Times New Roman"/>
                      <w:color w:val="080800"/>
                      <w:sz w:val="18"/>
                      <w:szCs w:val="18"/>
                    </w:rPr>
                  </m:ctrlPr>
                </m:fPr>
                <m:num>
                  <m:r>
                    <m:rPr>
                      <m:sty m:val="bi"/>
                    </m:rPr>
                    <w:rPr>
                      <w:rFonts w:ascii="Cambria Math" w:eastAsia="Times New Roman" w:hAnsi="Cambria Math" w:cs="Times New Roman"/>
                      <w:color w:val="080800"/>
                      <w:sz w:val="18"/>
                      <w:szCs w:val="18"/>
                    </w:rPr>
                    <m:t>E</m:t>
                  </m:r>
                </m:num>
                <m:den>
                  <m:r>
                    <m:rPr>
                      <m:sty m:val="bi"/>
                    </m:rPr>
                    <w:rPr>
                      <w:rFonts w:ascii="Cambria Math" w:eastAsia="Times New Roman" w:hAnsi="Cambria Math" w:cs="Times New Roman"/>
                      <w:color w:val="080800"/>
                      <w:sz w:val="18"/>
                      <w:szCs w:val="18"/>
                    </w:rPr>
                    <m:t>V</m:t>
                  </m:r>
                </m:den>
              </m:f>
            </m:e>
          </m:box>
          <m:r>
            <m:rPr>
              <m:sty m:val="p"/>
            </m:rPr>
            <w:rPr>
              <w:rFonts w:ascii="Cambria Math" w:eastAsia="Times New Roman" w:hAnsi="Cambria Math" w:cs="Times New Roman"/>
              <w:color w:val="080800"/>
              <w:sz w:val="18"/>
              <w:szCs w:val="18"/>
            </w:rPr>
            <m:t>*</m:t>
          </m:r>
          <m:r>
            <m:rPr>
              <m:sty m:val="bi"/>
            </m:rPr>
            <w:rPr>
              <w:rFonts w:ascii="Cambria Math" w:eastAsia="Times New Roman" w:hAnsi="Cambria Math" w:cs="Times New Roman"/>
              <w:color w:val="080800"/>
              <w:sz w:val="18"/>
              <w:szCs w:val="18"/>
            </w:rPr>
            <m:t>R</m:t>
          </m:r>
          <m:r>
            <w:rPr>
              <w:rFonts w:ascii="Cambria Math" w:eastAsia="Times New Roman" w:hAnsi="Cambria Math" w:cs="Times New Roman"/>
              <w:color w:val="080800"/>
              <w:sz w:val="18"/>
              <w:szCs w:val="18"/>
            </w:rPr>
            <m:t>e</m:t>
          </m:r>
          <m:r>
            <m:rPr>
              <m:sty m:val="p"/>
            </m:rPr>
            <w:rPr>
              <w:rFonts w:ascii="Cambria Math" w:eastAsia="Times New Roman" w:hAnsi="Cambria Math" w:cs="Times New Roman"/>
              <w:color w:val="080800"/>
              <w:sz w:val="18"/>
              <w:szCs w:val="18"/>
            </w:rPr>
            <m:t>+</m:t>
          </m:r>
          <m:box>
            <m:boxPr>
              <m:ctrlPr>
                <w:rPr>
                  <w:rFonts w:ascii="Cambria Math" w:eastAsia="Times New Roman" w:hAnsi="Cambria Math" w:cs="Times New Roman"/>
                  <w:color w:val="080800"/>
                  <w:sz w:val="18"/>
                  <w:szCs w:val="18"/>
                </w:rPr>
              </m:ctrlPr>
            </m:boxPr>
            <m:e>
              <m:argPr>
                <m:argSz m:val="-1"/>
              </m:argPr>
              <m:f>
                <m:fPr>
                  <m:ctrlPr>
                    <w:rPr>
                      <w:rFonts w:ascii="Cambria Math" w:eastAsia="Times New Roman" w:hAnsi="Cambria Math" w:cs="Times New Roman"/>
                      <w:color w:val="080800"/>
                      <w:sz w:val="18"/>
                      <w:szCs w:val="18"/>
                    </w:rPr>
                  </m:ctrlPr>
                </m:fPr>
                <m:num>
                  <m:r>
                    <w:rPr>
                      <w:rFonts w:ascii="Cambria Math" w:eastAsia="Times New Roman" w:hAnsi="Cambria Math" w:cs="Times New Roman"/>
                      <w:color w:val="080800"/>
                      <w:sz w:val="18"/>
                      <w:szCs w:val="18"/>
                    </w:rPr>
                    <m:t>D</m:t>
                  </m:r>
                </m:num>
                <m:den>
                  <m:r>
                    <w:rPr>
                      <w:rFonts w:ascii="Cambria Math" w:eastAsia="Times New Roman" w:hAnsi="Cambria Math" w:cs="Times New Roman"/>
                      <w:color w:val="080800"/>
                      <w:sz w:val="18"/>
                      <w:szCs w:val="18"/>
                    </w:rPr>
                    <m:t>V</m:t>
                  </m:r>
                </m:den>
              </m:f>
            </m:e>
          </m:box>
          <m:r>
            <m:rPr>
              <m:sty m:val="p"/>
            </m:rPr>
            <w:rPr>
              <w:rFonts w:ascii="Cambria Math" w:eastAsia="Times New Roman" w:hAnsi="Cambria Math" w:cs="Times New Roman"/>
              <w:color w:val="080800"/>
              <w:sz w:val="18"/>
              <w:szCs w:val="18"/>
            </w:rPr>
            <m:t>+</m:t>
          </m:r>
          <m:r>
            <w:rPr>
              <w:rFonts w:ascii="Cambria Math" w:eastAsia="Times New Roman" w:hAnsi="Cambria Math" w:cs="Times New Roman"/>
              <w:color w:val="080800"/>
              <w:sz w:val="18"/>
              <w:szCs w:val="18"/>
            </w:rPr>
            <m:t>Rd</m:t>
          </m:r>
          <m:r>
            <m:rPr>
              <m:sty m:val="p"/>
            </m:rPr>
            <w:rPr>
              <w:rFonts w:ascii="Cambria Math" w:eastAsia="Times New Roman" w:hAnsi="Cambria Math" w:cs="Times New Roman"/>
              <w:color w:val="080800"/>
              <w:sz w:val="18"/>
              <w:szCs w:val="18"/>
            </w:rPr>
            <m:t>*(1-</m:t>
          </m:r>
          <m:r>
            <w:rPr>
              <w:rFonts w:ascii="Cambria Math" w:eastAsia="Times New Roman" w:hAnsi="Cambria Math" w:cs="Times New Roman"/>
              <w:color w:val="080800"/>
              <w:sz w:val="18"/>
              <w:szCs w:val="18"/>
            </w:rPr>
            <m:t>Tc</m:t>
          </m:r>
          <m:r>
            <m:rPr>
              <m:sty m:val="p"/>
            </m:rPr>
            <w:rPr>
              <w:rFonts w:ascii="Cambria Math" w:eastAsia="Times New Roman" w:hAnsi="Cambria Math" w:cs="Times New Roman"/>
              <w:color w:val="080800"/>
              <w:sz w:val="18"/>
              <w:szCs w:val="18"/>
            </w:rPr>
            <m:t>)</m:t>
          </m:r>
        </m:oMath>
      </m:oMathPara>
    </w:p>
    <w:p w:rsidR="0089450F" w:rsidRPr="00F91A79" w:rsidRDefault="0089450F" w:rsidP="0089450F">
      <w:pPr>
        <w:bidi w:val="0"/>
        <w:spacing w:after="100" w:line="240" w:lineRule="auto"/>
        <w:rPr>
          <w:rFonts w:ascii="Times New Roman" w:eastAsia="Times New Roman" w:hAnsi="Times New Roman" w:cs="Times New Roman"/>
          <w:color w:val="080800"/>
          <w:sz w:val="18"/>
          <w:szCs w:val="18"/>
        </w:rPr>
      </w:pPr>
      <m:oMath>
        <m:r>
          <w:rPr>
            <w:rFonts w:ascii="Cambria Math" w:eastAsia="Times New Roman" w:hAnsi="Cambria Math" w:cs="Times New Roman"/>
            <w:color w:val="080800"/>
            <w:sz w:val="18"/>
            <w:szCs w:val="18"/>
          </w:rPr>
          <m:t>Re</m:t>
        </m:r>
      </m:oMath>
      <w:r w:rsidRPr="00F91A79">
        <w:rPr>
          <w:rFonts w:ascii="Times New Roman" w:eastAsia="Times New Roman" w:hAnsi="Times New Roman" w:cs="Times New Roman"/>
          <w:color w:val="080800"/>
          <w:sz w:val="18"/>
          <w:szCs w:val="18"/>
        </w:rPr>
        <w:t xml:space="preserve"> = cost of equity</w:t>
      </w:r>
    </w:p>
    <w:p w:rsidR="0089450F" w:rsidRPr="00F91A79" w:rsidRDefault="0089450F" w:rsidP="0089450F">
      <w:pPr>
        <w:bidi w:val="0"/>
        <w:spacing w:after="100" w:line="240" w:lineRule="auto"/>
        <w:rPr>
          <w:rFonts w:ascii="Times New Roman" w:eastAsia="Times New Roman" w:hAnsi="Times New Roman" w:cs="Times New Roman"/>
          <w:color w:val="080800"/>
          <w:sz w:val="18"/>
          <w:szCs w:val="18"/>
        </w:rPr>
      </w:pPr>
      <m:oMath>
        <m:r>
          <m:rPr>
            <m:sty m:val="bi"/>
          </m:rPr>
          <w:rPr>
            <w:rFonts w:ascii="Cambria Math" w:eastAsia="Times New Roman" w:hAnsi="Cambria Math" w:cs="Times New Roman"/>
            <w:color w:val="080800"/>
            <w:sz w:val="18"/>
            <w:szCs w:val="18"/>
          </w:rPr>
          <m:t>Rd</m:t>
        </m:r>
      </m:oMath>
      <w:r w:rsidRPr="00F91A79">
        <w:rPr>
          <w:rFonts w:ascii="Times New Roman" w:eastAsia="Times New Roman" w:hAnsi="Times New Roman" w:cs="Times New Roman"/>
          <w:color w:val="080800"/>
          <w:sz w:val="18"/>
          <w:szCs w:val="18"/>
        </w:rPr>
        <w:t xml:space="preserve"> = cost of debt</w:t>
      </w:r>
    </w:p>
    <w:p w:rsidR="0089450F" w:rsidRPr="00F91A79" w:rsidRDefault="0089450F" w:rsidP="0089450F">
      <w:pPr>
        <w:bidi w:val="0"/>
        <w:spacing w:after="100" w:line="240" w:lineRule="auto"/>
        <w:rPr>
          <w:rFonts w:ascii="Times New Roman" w:eastAsia="Times New Roman" w:hAnsi="Times New Roman" w:cs="Times New Roman"/>
          <w:color w:val="080800"/>
          <w:sz w:val="18"/>
          <w:szCs w:val="18"/>
        </w:rPr>
      </w:pPr>
      <w:r w:rsidRPr="00F91A79">
        <w:rPr>
          <w:rFonts w:ascii="Times New Roman" w:eastAsia="Times New Roman" w:hAnsi="Times New Roman" w:cs="Times New Roman"/>
          <w:color w:val="080800"/>
          <w:sz w:val="18"/>
          <w:szCs w:val="18"/>
        </w:rPr>
        <w:t>E = market value of the firm's equity</w:t>
      </w:r>
    </w:p>
    <w:p w:rsidR="0089450F" w:rsidRPr="00F91A79" w:rsidRDefault="0089450F" w:rsidP="0089450F">
      <w:pPr>
        <w:bidi w:val="0"/>
        <w:spacing w:after="100" w:line="240" w:lineRule="auto"/>
        <w:rPr>
          <w:rFonts w:ascii="Times New Roman" w:eastAsia="Times New Roman" w:hAnsi="Times New Roman" w:cs="Times New Roman"/>
          <w:color w:val="080800"/>
          <w:sz w:val="18"/>
          <w:szCs w:val="18"/>
        </w:rPr>
      </w:pPr>
      <w:r w:rsidRPr="00F91A79">
        <w:rPr>
          <w:rFonts w:ascii="Times New Roman" w:eastAsia="Times New Roman" w:hAnsi="Times New Roman" w:cs="Times New Roman"/>
          <w:color w:val="080800"/>
          <w:sz w:val="18"/>
          <w:szCs w:val="18"/>
        </w:rPr>
        <w:t>D = market value of the firm's debt</w:t>
      </w:r>
    </w:p>
    <w:p w:rsidR="0089450F" w:rsidRPr="00F91A79" w:rsidRDefault="0089450F" w:rsidP="0089450F">
      <w:pPr>
        <w:bidi w:val="0"/>
        <w:spacing w:after="100" w:line="240" w:lineRule="auto"/>
        <w:rPr>
          <w:rFonts w:ascii="Times New Roman" w:eastAsia="Times New Roman" w:hAnsi="Times New Roman" w:cs="Times New Roman"/>
          <w:color w:val="080800"/>
          <w:sz w:val="18"/>
          <w:szCs w:val="18"/>
        </w:rPr>
      </w:pPr>
      <m:oMathPara>
        <m:oMath>
          <m:r>
            <m:rPr>
              <m:sty m:val="bi"/>
            </m:rPr>
            <w:rPr>
              <w:rFonts w:ascii="Cambria Math" w:eastAsia="Times New Roman" w:hAnsi="Cambria Math" w:cs="Times New Roman"/>
              <w:color w:val="080800"/>
              <w:sz w:val="18"/>
              <w:szCs w:val="18"/>
            </w:rPr>
            <m:t>V</m:t>
          </m:r>
          <m:r>
            <m:rPr>
              <m:sty m:val="p"/>
            </m:rPr>
            <w:rPr>
              <w:rFonts w:ascii="Cambria Math" w:eastAsia="Times New Roman" w:hAnsi="Cambria Math" w:cs="Times New Roman"/>
              <w:color w:val="080800"/>
              <w:sz w:val="18"/>
              <w:szCs w:val="18"/>
            </w:rPr>
            <m:t>=</m:t>
          </m:r>
          <m:r>
            <m:rPr>
              <m:sty m:val="bi"/>
            </m:rPr>
            <w:rPr>
              <w:rFonts w:ascii="Cambria Math" w:eastAsia="Times New Roman" w:hAnsi="Cambria Math" w:cs="Times New Roman"/>
              <w:color w:val="080800"/>
              <w:sz w:val="18"/>
              <w:szCs w:val="18"/>
            </w:rPr>
            <m:t>E</m:t>
          </m:r>
          <m:r>
            <m:rPr>
              <m:sty m:val="p"/>
            </m:rPr>
            <w:rPr>
              <w:rFonts w:ascii="Cambria Math" w:eastAsia="Times New Roman" w:hAnsi="Cambria Math" w:cs="Times New Roman"/>
              <w:color w:val="080800"/>
              <w:sz w:val="18"/>
              <w:szCs w:val="18"/>
            </w:rPr>
            <m:t xml:space="preserve"> + </m:t>
          </m:r>
          <m:r>
            <m:rPr>
              <m:sty m:val="bi"/>
            </m:rPr>
            <w:rPr>
              <w:rFonts w:ascii="Cambria Math" w:eastAsia="Times New Roman" w:hAnsi="Cambria Math" w:cs="Times New Roman"/>
              <w:color w:val="080800"/>
              <w:sz w:val="18"/>
              <w:szCs w:val="18"/>
            </w:rPr>
            <m:t>D</m:t>
          </m:r>
        </m:oMath>
      </m:oMathPara>
    </w:p>
    <w:p w:rsidR="0089450F" w:rsidRPr="00F91A79" w:rsidRDefault="0089450F" w:rsidP="0089450F">
      <w:pPr>
        <w:bidi w:val="0"/>
        <w:spacing w:after="100" w:line="240" w:lineRule="auto"/>
        <w:rPr>
          <w:rFonts w:ascii="Times New Roman" w:eastAsia="Times New Roman" w:hAnsi="Times New Roman" w:cs="Times New Roman"/>
          <w:color w:val="080800"/>
          <w:sz w:val="18"/>
          <w:szCs w:val="18"/>
        </w:rPr>
      </w:pPr>
      <w:r w:rsidRPr="00F91A79">
        <w:rPr>
          <w:rFonts w:ascii="Times New Roman" w:eastAsia="Times New Roman" w:hAnsi="Times New Roman" w:cs="Times New Roman"/>
          <w:color w:val="080800"/>
          <w:sz w:val="18"/>
          <w:szCs w:val="18"/>
        </w:rPr>
        <w:t>E/V = percentage of financing that is equity</w:t>
      </w:r>
    </w:p>
    <w:p w:rsidR="0089450F" w:rsidRPr="00F91A79" w:rsidRDefault="0089450F" w:rsidP="0089450F">
      <w:pPr>
        <w:bidi w:val="0"/>
        <w:spacing w:after="100" w:line="240" w:lineRule="auto"/>
        <w:rPr>
          <w:rFonts w:ascii="Times New Roman" w:eastAsia="Times New Roman" w:hAnsi="Times New Roman" w:cs="Times New Roman"/>
          <w:color w:val="080800"/>
          <w:sz w:val="18"/>
          <w:szCs w:val="18"/>
        </w:rPr>
      </w:pPr>
      <w:r w:rsidRPr="00F91A79">
        <w:rPr>
          <w:rFonts w:ascii="Times New Roman" w:eastAsia="Times New Roman" w:hAnsi="Times New Roman" w:cs="Times New Roman"/>
          <w:color w:val="080800"/>
          <w:sz w:val="18"/>
          <w:szCs w:val="18"/>
        </w:rPr>
        <w:t>D/V = percentage of financing that is debt</w:t>
      </w:r>
    </w:p>
    <w:p w:rsidR="0089450F" w:rsidRPr="008947EB" w:rsidRDefault="0089450F" w:rsidP="0089450F">
      <w:pPr>
        <w:bidi w:val="0"/>
        <w:spacing w:after="100" w:line="240" w:lineRule="auto"/>
        <w:rPr>
          <w:rFonts w:ascii="Times New Roman" w:eastAsia="Times New Roman" w:hAnsi="Times New Roman" w:cs="Times New Roman"/>
          <w:color w:val="080800"/>
          <w:sz w:val="18"/>
          <w:szCs w:val="18"/>
          <w:rtl/>
        </w:rPr>
      </w:pPr>
      <w:r w:rsidRPr="00F91A79">
        <w:rPr>
          <w:rFonts w:ascii="Times New Roman" w:eastAsia="Times New Roman" w:hAnsi="Times New Roman" w:cs="Times New Roman"/>
          <w:color w:val="080800"/>
          <w:sz w:val="18"/>
          <w:szCs w:val="18"/>
        </w:rPr>
        <w:t>Tc corporate tax rate.</w:t>
      </w:r>
      <w:r w:rsidRPr="008947EB">
        <w:rPr>
          <w:rFonts w:ascii="Times New Roman" w:eastAsia="Times New Roman" w:hAnsi="Times New Roman" w:cs="Times New Roman"/>
          <w:color w:val="080800"/>
          <w:sz w:val="18"/>
          <w:szCs w:val="18"/>
        </w:rPr>
        <w:t>http://www.investopedia.com/terms/w/wacc.asp</w:t>
      </w:r>
    </w:p>
    <w:p w:rsidR="0089450F" w:rsidRDefault="0089450F" w:rsidP="0089450F">
      <w:pPr>
        <w:pStyle w:val="NormalWeb"/>
        <w:bidi/>
        <w:spacing w:before="0" w:beforeAutospacing="0" w:after="120" w:afterAutospacing="0" w:line="276" w:lineRule="auto"/>
        <w:ind w:left="-1"/>
        <w:jc w:val="lowKashida"/>
        <w:rPr>
          <w:rtl/>
        </w:rPr>
      </w:pPr>
      <w:r w:rsidRPr="008947EB">
        <w:rPr>
          <w:color w:val="000000"/>
          <w:sz w:val="18"/>
          <w:szCs w:val="18"/>
          <w:rtl/>
        </w:rPr>
        <w:t>متوسط المرجح لتكلفة رأس المال - المبلغ المقترض أو المزمع طرحة للإكتتاب فيه / مجموع التمويل أو إجمالي الإستثمار * مكمل معدل الضريبة "1 - .</w:t>
      </w:r>
      <w:r>
        <w:rPr>
          <w:rFonts w:hint="cs"/>
          <w:rtl/>
        </w:rPr>
        <w:t>سعر الضريبة"+حفوق الملكية/</w:t>
      </w:r>
      <w:r w:rsidRPr="008947EB">
        <w:rPr>
          <w:color w:val="070000"/>
          <w:sz w:val="18"/>
          <w:szCs w:val="18"/>
          <w:rtl/>
        </w:rPr>
        <w:t>مجموع الإستثمارات أو إجمالي التمويل * معدل العائد على الإستثمار أو تكلفة الإقتراض .</w:t>
      </w:r>
    </w:p>
    <w:p w:rsidR="0089450F" w:rsidRPr="008947EB" w:rsidRDefault="0089450F" w:rsidP="0089450F">
      <w:pPr>
        <w:bidi w:val="0"/>
        <w:spacing w:after="100" w:line="240" w:lineRule="auto"/>
        <w:rPr>
          <w:rFonts w:asciiTheme="majorBidi" w:eastAsia="Times New Roman" w:hAnsiTheme="majorBidi" w:cstheme="majorBidi"/>
          <w:sz w:val="24"/>
          <w:szCs w:val="24"/>
        </w:rPr>
      </w:pPr>
      <w:r w:rsidRPr="008947EB">
        <w:rPr>
          <w:rFonts w:asciiTheme="majorBidi" w:eastAsia="Times New Roman" w:hAnsiTheme="majorBidi" w:cstheme="majorBidi"/>
          <w:color w:val="060600"/>
          <w:sz w:val="18"/>
          <w:szCs w:val="18"/>
        </w:rPr>
        <w:t>http://infotechaccountants.com/forums/showthread.php</w:t>
      </w:r>
    </w:p>
    <w:p w:rsidR="0089450F" w:rsidRPr="00685A2F" w:rsidRDefault="0089450F" w:rsidP="0089450F">
      <w:pPr>
        <w:bidi w:val="0"/>
        <w:spacing w:after="100" w:line="240" w:lineRule="auto"/>
        <w:rPr>
          <w:sz w:val="24"/>
          <w:szCs w:val="24"/>
          <w:rtl/>
        </w:rPr>
      </w:pPr>
      <w:r w:rsidRPr="008947EB">
        <w:rPr>
          <w:rFonts w:asciiTheme="majorBidi" w:eastAsia="Times New Roman" w:hAnsiTheme="majorBidi" w:cstheme="majorBidi"/>
          <w:color w:val="070900"/>
          <w:sz w:val="18"/>
          <w:szCs w:val="18"/>
        </w:rPr>
        <w:t>http://www.12manage.com/methods waccar.html</w:t>
      </w:r>
      <w:r w:rsidRPr="008947EB">
        <w:rPr>
          <w:rFonts w:asciiTheme="majorBidi" w:eastAsia="Times New Roman" w:hAnsiTheme="majorBidi" w:cstheme="majorBidi"/>
          <w:color w:val="070900"/>
          <w:sz w:val="18"/>
          <w:szCs w:val="18"/>
          <w:rtl/>
        </w:rPr>
        <w:t xml:space="preserve"> مثال : انظر</w:t>
      </w:r>
    </w:p>
  </w:footnote>
  <w:footnote w:id="4">
    <w:p w:rsidR="0089450F" w:rsidRPr="008947EB" w:rsidRDefault="0089450F" w:rsidP="0089450F">
      <w:pPr>
        <w:spacing w:after="100" w:line="240" w:lineRule="auto"/>
        <w:rPr>
          <w:rFonts w:ascii="Simplified Arabic" w:eastAsia="Times New Roman" w:hAnsi="Simplified Arabic" w:cs="Simplified Arabic"/>
          <w:sz w:val="24"/>
          <w:szCs w:val="24"/>
          <w:rtl/>
        </w:rPr>
      </w:pPr>
      <w:r w:rsidRPr="001C2C0C">
        <w:rPr>
          <w:rStyle w:val="Appelnotedebasdep"/>
          <w:sz w:val="24"/>
          <w:szCs w:val="24"/>
          <w:rtl/>
        </w:rPr>
        <w:t>*</w:t>
      </w:r>
      <w:r w:rsidRPr="008947EB">
        <w:rPr>
          <w:rFonts w:ascii="Simplified Arabic" w:eastAsia="Times New Roman" w:hAnsi="Simplified Arabic" w:cs="Simplified Arabic"/>
          <w:color w:val="090900"/>
          <w:sz w:val="24"/>
          <w:szCs w:val="24"/>
          <w:rtl/>
        </w:rPr>
        <w:t>للإطلاع أكثر على قوانين حساب قيمة الزبون في دورة حياته يمكن الاطلاع على المراجع التالية :</w:t>
      </w:r>
    </w:p>
    <w:p w:rsidR="0089450F" w:rsidRPr="001C2C0C" w:rsidRDefault="0089450F" w:rsidP="0089450F">
      <w:pPr>
        <w:spacing w:after="100" w:line="240" w:lineRule="auto"/>
        <w:rPr>
          <w:sz w:val="24"/>
          <w:szCs w:val="24"/>
          <w:rtl/>
        </w:rPr>
      </w:pPr>
      <w:r w:rsidRPr="008947EB">
        <w:rPr>
          <w:rFonts w:ascii="Simplified Arabic" w:eastAsia="Times New Roman" w:hAnsi="Simplified Arabic" w:cs="Simplified Arabic"/>
          <w:color w:val="031A00"/>
          <w:sz w:val="24"/>
          <w:szCs w:val="24"/>
          <w:rtl/>
        </w:rPr>
        <w:t>سونيك غوبتا دونالد ليهمان ترجمة امين الايوبي : إدارة العملاء كاستثمارات طويلة الأمد القيمة الاستراتيجية للعملاء على المدى الطويل، الطبعة الاولى، الدار العربية للعلوم،</w:t>
      </w:r>
      <w:r w:rsidRPr="0083664B">
        <w:rPr>
          <w:rFonts w:ascii="Simplified Arabic" w:eastAsia="Times New Roman" w:hAnsi="Simplified Arabic" w:cs="Simplified Arabic"/>
          <w:sz w:val="24"/>
          <w:szCs w:val="24"/>
          <w:rtl/>
        </w:rPr>
        <w:t xml:space="preserve"> بيروت، 2006.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C0300"/>
    <w:multiLevelType w:val="hybridMultilevel"/>
    <w:tmpl w:val="9208BEA4"/>
    <w:lvl w:ilvl="0" w:tplc="DB946690">
      <w:start w:val="4"/>
      <w:numFmt w:val="bullet"/>
      <w:lvlText w:val="-"/>
      <w:lvlJc w:val="left"/>
      <w:pPr>
        <w:ind w:left="784" w:hanging="360"/>
      </w:pPr>
      <w:rPr>
        <w:rFonts w:ascii="Simplified Arabic" w:eastAsia="Times New Roman" w:hAnsi="Simplified Arabic" w:cs="Simplified Arabic" w:hint="default"/>
        <w:color w:val="0D1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9450F"/>
    <w:rsid w:val="0089450F"/>
    <w:rsid w:val="009A17F6"/>
    <w:rsid w:val="00D2466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0F"/>
    <w:pPr>
      <w:bidi/>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9450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ppelnotedebasdep">
    <w:name w:val="footnote reference"/>
    <w:basedOn w:val="Policepardfaut"/>
    <w:uiPriority w:val="99"/>
    <w:semiHidden/>
    <w:unhideWhenUsed/>
    <w:rsid w:val="0089450F"/>
    <w:rPr>
      <w:vertAlign w:val="superscript"/>
    </w:rPr>
  </w:style>
  <w:style w:type="paragraph" w:styleId="Textedebulles">
    <w:name w:val="Balloon Text"/>
    <w:basedOn w:val="Normal"/>
    <w:link w:val="TextedebullesCar"/>
    <w:uiPriority w:val="99"/>
    <w:semiHidden/>
    <w:unhideWhenUsed/>
    <w:rsid w:val="008945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450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Cal02</b:Tag>
    <b:SourceType>Book</b:SourceType>
    <b:Guid>{5E972CA8-4596-42C6-950B-CD652A32E161}</b:Guid>
    <b:LCID>fr-FR</b:LCID>
    <b:Title>Modélisation de la valeur client- Synthèse des modèles et propositions d'extension</b:Title>
    <b:Year>2002</b:Year>
    <b:City> France</b:City>
    <b:Publisher>Actes du congrès de l'AFM, Lille 205-230</b:Publisher>
    <b:Author>
      <b:Author>
        <b:NameList>
          <b:Person>
            <b:Last>Calciu M.</b:Last>
          </b:Person>
          <b:Person>
            <b:Last>Salerno F</b:Last>
          </b:Person>
        </b:NameList>
      </b:Author>
    </b:Author>
    <b:RefOrder>64</b:RefOrder>
  </b:Source>
  <b:Source>
    <b:Tag>Mah07</b:Tag>
    <b:SourceType>Book</b:SourceType>
    <b:Guid>{2A828249-7475-46CA-B092-2294A63713B1}</b:Guid>
    <b:LCID>fr-FR</b:LCID>
    <b:Title>Customer Value Investment Formula for Sustained Business Success</b:Title>
    <b:Year>2007</b:Year>
    <b:City>New Delhi</b:City>
    <b:Publisher>Response Book</b:Publisher>
    <b:Author>
      <b:Author>
        <b:NameList>
          <b:Person>
            <b:Last>Mahajan</b:Last>
            <b:First>Gautam</b:First>
          </b:Person>
        </b:NameList>
      </b:Author>
    </b:Author>
    <b:RefOrder>65</b:RefOrder>
  </b:Source>
  <b:Source>
    <b:Tag>Her</b:Tag>
    <b:SourceType>Misc</b:SourceType>
    <b:Guid>{487D416C-D957-435F-AD95-02D9BD02E309}</b:Guid>
    <b:Title>Creating business Opportunity via Environmental Product design strategy</b:Title>
    <b:LCID>fr-FR</b:LCID>
    <b:Author>
      <b:Author>
        <b:NameList>
          <b:Person>
            <b:Last>Hernek</b:Last>
            <b:First>Michael T</b:First>
          </b:Person>
        </b:NameList>
      </b:Author>
    </b:Author>
    <b:PublicationTitle>Doctor of philosophy</b:PublicationTitle>
    <b:Year>2005</b:Year>
    <b:Publisher>University of Wisconsin Madison, ProQuest LLC</b:Publisher>
    <b:RefOrder>66</b:RefOrder>
  </b:Source>
  <b:Source>
    <b:Tag>بيل07</b:Tag>
    <b:SourceType>Book</b:SourceType>
    <b:Guid>{88F28B2B-5174-4B6A-B606-B3230F5F0909}</b:Guid>
    <b:Title>التسويق نظريات حديثة</b:Title>
    <b:Year>2007</b:Year>
    <b:City>عمان</b:City>
    <b:Publisher>الأهلية للنشر والتوزيع</b:Publisher>
    <b:LCID>ar-DZ</b:LCID>
    <b:Author>
      <b:Author>
        <b:NameList>
          <b:Person>
            <b:Last>بيل</b:Last>
            <b:First>ديفد</b:First>
          </b:Person>
        </b:NameList>
      </b:Author>
      <b:Translator>
        <b:NameList>
          <b:Person>
            <b:Last>عمران</b:Last>
            <b:First>محمد موسى</b:First>
          </b:Person>
        </b:NameList>
      </b:Translator>
    </b:Author>
    <b:Edition>الطبعة الأولى</b:Edition>
    <b:RefOrder>67</b:RefOrder>
  </b:Source>
  <b:Source>
    <b:Tag>كري08</b:Tag>
    <b:SourceType>Book</b:SourceType>
    <b:Guid>{D3D541C5-78EC-4E69-A5C1-6094ECDDB3D3}</b:Guid>
    <b:LCID>ar-DZ</b:LCID>
    <b:Year>2010</b:Year>
    <b:Author>
      <b:Author>
        <b:NameList>
          <b:Person>
            <b:Last>كريم</b:Last>
            <b:First>فاضل عباس</b:First>
          </b:Person>
        </b:NameList>
      </b:Author>
    </b:Author>
    <b:RefOrder>68</b:RefOrder>
  </b:Source>
  <b:Source>
    <b:Tag>Che09</b:Tag>
    <b:SourceType>ArticleInAPeriodical</b:SourceType>
    <b:Guid>{8C1E7033-F428-47B1-90DA-ED752EFD36CA}</b:Guid>
    <b:Title>Classifying the segmentation of customer value via RFM model and RS theory</b:Title>
    <b:Year>2009</b:Year>
    <b:LCID>fr-FR</b:LCID>
    <b:PeriodicalTitle>, Expert Systems with Applications</b:PeriodicalTitle>
    <b:Issue>36</b:Issue>
    <b:Author>
      <b:Author>
        <b:NameList>
          <b:Person>
            <b:Last>Cheng</b:Last>
            <b:First>Ching-Hsue</b:First>
          </b:Person>
          <b:Person>
            <b:Last>Cnhen</b:Last>
            <b:First>You-Shyang</b:First>
          </b:Person>
        </b:NameList>
      </b:Author>
    </b:Author>
    <b:Pages>4176-4184</b:Pages>
    <b:RefOrder>69</b:RefOrder>
  </b:Source>
  <b:Source>
    <b:Tag>الج09</b:Tag>
    <b:SourceType>Book</b:SourceType>
    <b:Guid>{9F9290AC-4363-49FF-B2CC-C672C9790FB0}</b:Guid>
    <b:LCID>ar-DZ</b:LCID>
    <b:Title>إدارة معرفة الزبون</b:Title>
    <b:Year>2009</b:Year>
    <b:City>عمان</b:City>
    <b:Publisher>دار الصفاء للنشر والتوزيع</b:Publisher>
    <b:Author>
      <b:Author>
        <b:NameList>
          <b:Person>
            <b:Last>الجنابي</b:Last>
            <b:First>أميرة</b:First>
          </b:Person>
        </b:NameList>
      </b:Author>
    </b:Author>
    <b:Edition>الطبعة الأولى</b:Edition>
    <b:RefOrder>43</b:RefOrder>
  </b:Source>
  <b:Source>
    <b:Tag>أبو10</b:Tag>
    <b:SourceType>Book</b:SourceType>
    <b:Guid>{7A9530DF-541E-47B8-BA77-8F43F12D918C}</b:Guid>
    <b:Title>إدارة التسويق مدخل استراتيجي</b:Title>
    <b:Year>2010</b:Year>
    <b:Edition>الطبعة الأولى</b:Edition>
    <b:LCID>ar-DZ</b:LCID>
    <b:City>الاسكندرية</b:City>
    <b:Publisher>الدار الجامعية</b:Publisher>
    <b:Author>
      <b:Author>
        <b:NameList>
          <b:Person>
            <b:Last>أبو النجا</b:Last>
            <b:First>محمد عبد العظيم</b:First>
          </b:Person>
        </b:NameList>
      </b:Author>
    </b:Author>
    <b:RefOrder>70</b:RefOrder>
  </b:Source>
  <b:Source>
    <b:Tag>غوي06</b:Tag>
    <b:SourceType>Book</b:SourceType>
    <b:Guid>{67FAEE7D-F62F-4D35-814D-A71406BBCCAA}</b:Guid>
    <b:LCID>ar-DZ</b:LCID>
    <b:Title>إدارة العملاء كاستثمارات طويلة الأمد القيمة الاستراتيجية للعملاء على المدى الطويل</b:Title>
    <b:Year>2006</b:Year>
    <b:City>بيروت</b:City>
    <b:Publisher>الدار العربية للعلوم</b:Publisher>
    <b:Author>
      <b:Author>
        <b:NameList>
          <b:Person>
            <b:Last>غويتا</b:Last>
            <b:First>سونيك</b:First>
          </b:Person>
          <b:Person>
            <b:Last>ليهمان</b:Last>
            <b:First>دونالد</b:First>
          </b:Person>
        </b:NameList>
      </b:Author>
      <b:Translator>
        <b:NameList>
          <b:Person>
            <b:Last>الأيوبي</b:Last>
            <b:First>أمين</b:First>
          </b:Person>
        </b:NameList>
      </b:Translator>
    </b:Author>
    <b:Edition>الطبعة الأولى</b:Edition>
    <b:RefOrder>59</b:RefOrder>
  </b:Source>
  <b:Source>
    <b:Tag>Way97</b:Tag>
    <b:SourceType>Book</b:SourceType>
    <b:Guid>{AE5D5F81-F458-43A5-BC0D-4EF71EF22FB8}</b:Guid>
    <b:Title>Customer Connections New Strategies for Growth</b:Title>
    <b:Year>1997</b:Year>
    <b:LCID>fr-FR</b:LCID>
    <b:City>USA</b:City>
    <b:Publisher>Harvard Business School Press</b:Publisher>
    <b:Author>
      <b:Author>
        <b:NameList>
          <b:Person>
            <b:Last>Wayland</b:Last>
            <b:First>Robert E</b:First>
          </b:Person>
          <b:Person>
            <b:Last>Cole</b:Last>
            <b:First>Paul M</b:First>
          </b:Person>
        </b:NameList>
      </b:Author>
    </b:Author>
    <b:RefOrder>72</b:RefOrder>
  </b:Source>
</b:Sources>
</file>

<file path=customXml/itemProps1.xml><?xml version="1.0" encoding="utf-8"?>
<ds:datastoreItem xmlns:ds="http://schemas.openxmlformats.org/officeDocument/2006/customXml" ds:itemID="{9CBAEB53-5781-47FB-A368-08DF7BC5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928</Words>
  <Characters>5107</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2025-03-10T05:30:00Z</dcterms:created>
  <dcterms:modified xsi:type="dcterms:W3CDTF">2025-03-10T05:36:00Z</dcterms:modified>
</cp:coreProperties>
</file>