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A5B" w:rsidRDefault="000F4A5B" w:rsidP="000F4A5B">
      <w:pPr>
        <w:spacing w:after="0" w:line="259" w:lineRule="auto"/>
        <w:ind w:left="407" w:right="0" w:firstLine="0"/>
        <w:jc w:val="center"/>
        <w:rPr>
          <w:b/>
          <w:bCs/>
          <w:sz w:val="22"/>
          <w:lang w:val="en-US"/>
        </w:rPr>
      </w:pPr>
    </w:p>
    <w:p w:rsidR="000F4A5B" w:rsidRDefault="000F4A5B" w:rsidP="000F4A5B">
      <w:pPr>
        <w:spacing w:after="0" w:line="259" w:lineRule="auto"/>
        <w:ind w:left="407" w:right="0" w:firstLine="0"/>
        <w:jc w:val="center"/>
        <w:rPr>
          <w:b/>
          <w:bCs/>
          <w:sz w:val="22"/>
          <w:lang w:val="en-US"/>
        </w:rPr>
      </w:pPr>
    </w:p>
    <w:p w:rsidR="000F4A5B" w:rsidRPr="000F4A5B" w:rsidRDefault="000F4A5B" w:rsidP="000F4A5B">
      <w:pPr>
        <w:spacing w:after="0" w:line="259" w:lineRule="auto"/>
        <w:ind w:left="407" w:right="0" w:firstLine="0"/>
        <w:jc w:val="center"/>
        <w:rPr>
          <w:b/>
          <w:bCs/>
          <w:sz w:val="28"/>
          <w:szCs w:val="28"/>
          <w:lang w:val="en-US"/>
        </w:rPr>
      </w:pPr>
      <w:r w:rsidRPr="000F4A5B">
        <w:rPr>
          <w:b/>
          <w:bCs/>
          <w:sz w:val="28"/>
          <w:szCs w:val="28"/>
          <w:lang w:val="en-US"/>
        </w:rPr>
        <w:t>1.3. Cellular fractions</w:t>
      </w:r>
    </w:p>
    <w:p w:rsidR="000F4A5B" w:rsidRPr="000F4A5B" w:rsidRDefault="000F4A5B" w:rsidP="000F4A5B">
      <w:pPr>
        <w:spacing w:after="0" w:line="259" w:lineRule="auto"/>
        <w:ind w:left="407" w:right="0" w:firstLine="0"/>
        <w:jc w:val="center"/>
        <w:rPr>
          <w:b/>
          <w:bCs/>
          <w:sz w:val="28"/>
          <w:szCs w:val="28"/>
          <w:lang w:val="en-US"/>
        </w:rPr>
      </w:pPr>
      <w:r w:rsidRPr="000F4A5B">
        <w:rPr>
          <w:b/>
          <w:bCs/>
          <w:sz w:val="28"/>
          <w:szCs w:val="28"/>
          <w:lang w:val="en-US"/>
        </w:rPr>
        <w:t>* Principle of separation of cell organelles</w:t>
      </w:r>
    </w:p>
    <w:p w:rsidR="000F4A5B" w:rsidRPr="000F4A5B" w:rsidRDefault="000F4A5B" w:rsidP="000F4A5B">
      <w:pPr>
        <w:spacing w:after="0" w:line="259" w:lineRule="auto"/>
        <w:ind w:left="407" w:right="0" w:firstLine="0"/>
        <w:jc w:val="center"/>
        <w:rPr>
          <w:b/>
          <w:bCs/>
          <w:sz w:val="28"/>
          <w:szCs w:val="28"/>
          <w:lang w:val="en-US"/>
        </w:rPr>
      </w:pPr>
      <w:r w:rsidRPr="000F4A5B">
        <w:rPr>
          <w:b/>
          <w:bCs/>
          <w:sz w:val="28"/>
          <w:szCs w:val="28"/>
          <w:lang w:val="en-US"/>
        </w:rPr>
        <w:t>* Differential ultracentrifugation</w:t>
      </w:r>
    </w:p>
    <w:p w:rsidR="000F4A5B" w:rsidRPr="000F4A5B" w:rsidRDefault="000F4A5B" w:rsidP="000F4A5B">
      <w:pPr>
        <w:spacing w:after="0" w:line="259" w:lineRule="auto"/>
        <w:ind w:left="407" w:right="0" w:firstLine="0"/>
        <w:jc w:val="center"/>
        <w:rPr>
          <w:b/>
          <w:bCs/>
          <w:sz w:val="28"/>
          <w:szCs w:val="28"/>
          <w:lang w:val="en-US"/>
        </w:rPr>
      </w:pPr>
      <w:r w:rsidRPr="000F4A5B">
        <w:rPr>
          <w:b/>
          <w:bCs/>
          <w:sz w:val="28"/>
          <w:szCs w:val="28"/>
          <w:lang w:val="en-US"/>
        </w:rPr>
        <w:t>* Density gradient ultracentrifugation</w:t>
      </w:r>
    </w:p>
    <w:p w:rsidR="000F4A5B" w:rsidRDefault="000F4A5B" w:rsidP="000F4A5B">
      <w:pPr>
        <w:spacing w:after="0" w:line="259" w:lineRule="auto"/>
        <w:ind w:left="407" w:right="0" w:firstLine="0"/>
        <w:jc w:val="center"/>
        <w:rPr>
          <w:b/>
          <w:bCs/>
          <w:sz w:val="22"/>
          <w:lang w:val="en-US"/>
        </w:rPr>
      </w:pPr>
    </w:p>
    <w:p w:rsidR="000F4A5B" w:rsidRPr="00C7794A" w:rsidRDefault="000F4A5B" w:rsidP="000F4A5B">
      <w:pPr>
        <w:spacing w:after="0" w:line="259" w:lineRule="auto"/>
        <w:ind w:left="407" w:right="0" w:firstLine="0"/>
        <w:jc w:val="center"/>
        <w:rPr>
          <w:b/>
          <w:bCs/>
          <w:sz w:val="22"/>
          <w:lang w:val="en-US"/>
        </w:rPr>
      </w:pPr>
      <w:r>
        <w:rPr>
          <w:b/>
          <w:bCs/>
          <w:sz w:val="22"/>
          <w:lang w:val="en-US"/>
        </w:rPr>
        <w:t>1.</w:t>
      </w:r>
      <w:r w:rsidRPr="00C7794A">
        <w:rPr>
          <w:b/>
          <w:bCs/>
          <w:sz w:val="22"/>
          <w:lang w:val="en-US"/>
        </w:rPr>
        <w:t xml:space="preserve"> Separation by Centrifugation</w:t>
      </w:r>
    </w:p>
    <w:p w:rsidR="000F4A5B" w:rsidRDefault="000F4A5B" w:rsidP="000F4A5B">
      <w:pPr>
        <w:spacing w:after="0" w:line="259" w:lineRule="auto"/>
        <w:ind w:left="407" w:right="0" w:firstLine="0"/>
        <w:jc w:val="center"/>
        <w:rPr>
          <w:sz w:val="22"/>
          <w:rtl/>
          <w:lang w:val="en-US"/>
        </w:rPr>
      </w:pPr>
      <w:r w:rsidRPr="00C7794A">
        <w:rPr>
          <w:sz w:val="22"/>
          <w:lang w:val="en-US"/>
        </w:rPr>
        <w:t>Cellular organelles are separated using a centrifugation (or ultracentrifugation) technique, which exploits differences in the sedimentation rates of different organelles in suspension. The sedimentation rate of particles depends on their size, shape (globular or elongated), and density. As a result, the largest and densest particles in the homogenate form the first sediment (or pellet).</w:t>
      </w:r>
    </w:p>
    <w:p w:rsidR="00380DD4" w:rsidRPr="00C7794A" w:rsidRDefault="00380DD4" w:rsidP="000F4A5B">
      <w:pPr>
        <w:spacing w:after="0" w:line="259" w:lineRule="auto"/>
        <w:ind w:left="407" w:right="0" w:firstLine="0"/>
        <w:jc w:val="center"/>
        <w:rPr>
          <w:sz w:val="22"/>
          <w:lang w:val="en-US"/>
        </w:rPr>
      </w:pPr>
    </w:p>
    <w:p w:rsidR="000F4A5B" w:rsidRPr="00C7794A" w:rsidRDefault="000F4A5B" w:rsidP="000F4A5B">
      <w:pPr>
        <w:spacing w:after="0" w:line="259" w:lineRule="auto"/>
        <w:ind w:left="407" w:right="0" w:firstLine="0"/>
        <w:jc w:val="center"/>
        <w:rPr>
          <w:sz w:val="22"/>
        </w:rPr>
      </w:pPr>
      <w:r w:rsidRPr="00C7794A">
        <w:rPr>
          <w:b/>
          <w:bCs/>
          <w:sz w:val="22"/>
        </w:rPr>
        <w:t xml:space="preserve">1. </w:t>
      </w:r>
      <w:r w:rsidRPr="00C7794A">
        <w:rPr>
          <w:b/>
          <w:bCs/>
          <w:sz w:val="22"/>
          <w:rtl/>
        </w:rPr>
        <w:t>الفصل بالطرد المركزي</w:t>
      </w:r>
    </w:p>
    <w:p w:rsidR="0057545F" w:rsidRDefault="000F4A5B" w:rsidP="000F4A5B">
      <w:pPr>
        <w:bidi/>
        <w:spacing w:after="0" w:line="259" w:lineRule="auto"/>
        <w:ind w:left="407" w:right="0" w:firstLine="0"/>
        <w:jc w:val="center"/>
        <w:rPr>
          <w:sz w:val="22"/>
          <w:rtl/>
        </w:rPr>
      </w:pPr>
      <w:r w:rsidRPr="00C7794A">
        <w:rPr>
          <w:sz w:val="22"/>
          <w:rtl/>
        </w:rPr>
        <w:t>يتم فصل العضيات الخلوية باستخدام تقنية الطرد المركزي (أو الطرد المركزي الفائق)، التي ت</w:t>
      </w:r>
      <w:r>
        <w:rPr>
          <w:rFonts w:hint="cs"/>
          <w:sz w:val="22"/>
          <w:rtl/>
        </w:rPr>
        <w:t>عتمد</w:t>
      </w:r>
      <w:r>
        <w:rPr>
          <w:sz w:val="22"/>
          <w:rtl/>
        </w:rPr>
        <w:t xml:space="preserve"> </w:t>
      </w:r>
      <w:r>
        <w:rPr>
          <w:rFonts w:hint="cs"/>
          <w:sz w:val="22"/>
          <w:rtl/>
        </w:rPr>
        <w:t>على</w:t>
      </w:r>
      <w:r w:rsidRPr="00C7794A">
        <w:rPr>
          <w:sz w:val="22"/>
          <w:rtl/>
        </w:rPr>
        <w:t xml:space="preserve"> اختلافات في معدلات الترسيب للعضيات المختلفة في التعليق. يعتمد معدل الترسيب للجسيمات على حجمها وشكلها (كروي أو ممدود) وكثافتها. نتيجة لذلك، فإن أكبر وأكثف الجسيمات تشكل أول </w:t>
      </w:r>
    </w:p>
    <w:p w:rsidR="000F4A5B" w:rsidRDefault="000F4A5B" w:rsidP="0057545F">
      <w:pPr>
        <w:bidi/>
        <w:spacing w:after="0" w:line="259" w:lineRule="auto"/>
        <w:ind w:left="407" w:right="0" w:firstLine="0"/>
        <w:jc w:val="center"/>
        <w:rPr>
          <w:sz w:val="22"/>
          <w:rtl/>
        </w:rPr>
      </w:pPr>
      <w:r>
        <w:rPr>
          <w:sz w:val="22"/>
          <w:rtl/>
        </w:rPr>
        <w:t>أو راسب</w:t>
      </w:r>
    </w:p>
    <w:p w:rsidR="0057545F" w:rsidRDefault="0057545F" w:rsidP="0057545F">
      <w:pPr>
        <w:bidi/>
        <w:spacing w:after="0" w:line="259" w:lineRule="auto"/>
        <w:ind w:left="407" w:right="0" w:firstLine="0"/>
        <w:jc w:val="center"/>
        <w:rPr>
          <w:sz w:val="22"/>
          <w:rtl/>
        </w:rPr>
      </w:pPr>
    </w:p>
    <w:p w:rsidR="0057545F" w:rsidRPr="00C7794A" w:rsidRDefault="0057545F" w:rsidP="0057545F">
      <w:pPr>
        <w:bidi/>
        <w:spacing w:after="0" w:line="259" w:lineRule="auto"/>
        <w:ind w:left="407" w:right="0" w:firstLine="0"/>
        <w:jc w:val="center"/>
        <w:rPr>
          <w:sz w:val="22"/>
        </w:rPr>
      </w:pPr>
      <w:r>
        <w:rPr>
          <w:noProof/>
          <w:sz w:val="22"/>
        </w:rPr>
        <w:drawing>
          <wp:inline distT="0" distB="0" distL="0" distR="0" wp14:anchorId="692E6829" wp14:editId="345ED62B">
            <wp:extent cx="4468495" cy="2581154"/>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0398" cy="2582253"/>
                    </a:xfrm>
                    <a:prstGeom prst="rect">
                      <a:avLst/>
                    </a:prstGeom>
                    <a:noFill/>
                  </pic:spPr>
                </pic:pic>
              </a:graphicData>
            </a:graphic>
          </wp:inline>
        </w:drawing>
      </w:r>
    </w:p>
    <w:p w:rsidR="000F4A5B" w:rsidRPr="00C7794A" w:rsidRDefault="00380DD4" w:rsidP="000F4A5B">
      <w:pPr>
        <w:spacing w:after="0" w:line="259" w:lineRule="auto"/>
        <w:ind w:left="407" w:right="0" w:firstLine="0"/>
        <w:jc w:val="center"/>
        <w:rPr>
          <w:sz w:val="22"/>
        </w:rPr>
      </w:pPr>
      <w:r>
        <w:rPr>
          <w:sz w:val="22"/>
        </w:rPr>
        <w:pict>
          <v:rect id="_x0000_i1025" style="width:0;height:1.5pt" o:hralign="center" o:hrstd="t" o:hrnoshade="t" o:hr="t" fillcolor="#222" stroked="f"/>
        </w:pict>
      </w:r>
    </w:p>
    <w:p w:rsidR="000F4A5B" w:rsidRPr="00C7794A" w:rsidRDefault="000F4A5B" w:rsidP="000F4A5B">
      <w:pPr>
        <w:spacing w:after="0" w:line="259" w:lineRule="auto"/>
        <w:ind w:left="407" w:right="0" w:firstLine="0"/>
        <w:jc w:val="center"/>
        <w:rPr>
          <w:b/>
          <w:bCs/>
          <w:sz w:val="22"/>
          <w:lang w:val="en-US"/>
        </w:rPr>
      </w:pPr>
      <w:r>
        <w:rPr>
          <w:b/>
          <w:bCs/>
          <w:sz w:val="22"/>
          <w:lang w:val="en-US"/>
        </w:rPr>
        <w:t>1.</w:t>
      </w:r>
      <w:r w:rsidRPr="00C7794A">
        <w:rPr>
          <w:b/>
          <w:bCs/>
          <w:sz w:val="22"/>
          <w:lang w:val="en-US"/>
        </w:rPr>
        <w:t>1. Differential Centrifugation (Figure 1)</w:t>
      </w:r>
    </w:p>
    <w:p w:rsidR="000F4A5B" w:rsidRPr="00C7794A" w:rsidRDefault="000F4A5B" w:rsidP="000F4A5B">
      <w:pPr>
        <w:spacing w:after="0" w:line="259" w:lineRule="auto"/>
        <w:ind w:left="407" w:right="0" w:firstLine="0"/>
        <w:jc w:val="center"/>
        <w:rPr>
          <w:sz w:val="22"/>
          <w:lang w:val="en-US"/>
        </w:rPr>
      </w:pPr>
      <w:r w:rsidRPr="00C7794A">
        <w:rPr>
          <w:sz w:val="22"/>
          <w:lang w:val="en-US"/>
        </w:rPr>
        <w:t xml:space="preserve">This technique separates particles (organelles, macromolecules, etc.) based on their size through successive centrifugations at increasing speeds and durations. The initial extract is fractionated into a series of </w:t>
      </w:r>
      <w:r w:rsidRPr="0064699B">
        <w:rPr>
          <w:b/>
          <w:bCs/>
          <w:sz w:val="22"/>
          <w:lang w:val="en-US"/>
        </w:rPr>
        <w:t>pellets</w:t>
      </w:r>
      <w:r w:rsidRPr="00C7794A">
        <w:rPr>
          <w:sz w:val="22"/>
          <w:lang w:val="en-US"/>
        </w:rPr>
        <w:t xml:space="preserve"> and </w:t>
      </w:r>
      <w:r w:rsidRPr="0064699B">
        <w:rPr>
          <w:b/>
          <w:bCs/>
          <w:sz w:val="22"/>
          <w:lang w:val="en-US"/>
        </w:rPr>
        <w:t>supernatants</w:t>
      </w:r>
      <w:r w:rsidRPr="00C7794A">
        <w:rPr>
          <w:sz w:val="22"/>
          <w:lang w:val="en-US"/>
        </w:rPr>
        <w:t>.</w:t>
      </w:r>
    </w:p>
    <w:p w:rsidR="000F4A5B" w:rsidRPr="00C7794A" w:rsidRDefault="000F4A5B" w:rsidP="000F4A5B">
      <w:pPr>
        <w:spacing w:after="0" w:line="259" w:lineRule="auto"/>
        <w:ind w:left="407" w:right="0" w:firstLine="0"/>
        <w:jc w:val="center"/>
        <w:rPr>
          <w:sz w:val="22"/>
        </w:rPr>
      </w:pPr>
      <w:r>
        <w:rPr>
          <w:b/>
          <w:bCs/>
          <w:sz w:val="22"/>
        </w:rPr>
        <w:t>1.</w:t>
      </w:r>
      <w:r w:rsidRPr="00C7794A">
        <w:rPr>
          <w:b/>
          <w:bCs/>
          <w:sz w:val="22"/>
        </w:rPr>
        <w:t xml:space="preserve">1. </w:t>
      </w:r>
      <w:r w:rsidRPr="00C7794A">
        <w:rPr>
          <w:b/>
          <w:bCs/>
          <w:sz w:val="22"/>
          <w:rtl/>
        </w:rPr>
        <w:t>الطرد المركزي التفاضلي (الشكل 1)</w:t>
      </w:r>
    </w:p>
    <w:p w:rsidR="000F4A5B" w:rsidRDefault="000F4A5B" w:rsidP="0057545F">
      <w:pPr>
        <w:spacing w:after="0" w:line="259" w:lineRule="auto"/>
        <w:ind w:left="407" w:right="0" w:firstLine="0"/>
        <w:jc w:val="center"/>
        <w:rPr>
          <w:sz w:val="22"/>
        </w:rPr>
      </w:pPr>
      <w:r w:rsidRPr="00C7794A">
        <w:rPr>
          <w:sz w:val="22"/>
          <w:rtl/>
        </w:rPr>
        <w:t>تفصل هذه التقنية الجسيمات (العضيات، الجزيئات الكبيرة، إلخ) بناءً على حجمها من خلال سلسلة من الطرد المركزي بسرعات ومدة متزايدة. يتم تقسيم الاستخلاص الأول إلى سلسلة من الرواسب والسوائل العلوية</w:t>
      </w:r>
      <w:r w:rsidRPr="00C7794A">
        <w:rPr>
          <w:sz w:val="22"/>
        </w:rPr>
        <w:t>.</w:t>
      </w:r>
    </w:p>
    <w:p w:rsidR="000F4A5B" w:rsidRDefault="0057545F" w:rsidP="0057545F">
      <w:pPr>
        <w:spacing w:after="0" w:line="259" w:lineRule="auto"/>
        <w:ind w:left="407" w:right="0" w:firstLine="0"/>
        <w:jc w:val="center"/>
        <w:rPr>
          <w:sz w:val="22"/>
          <w:rtl/>
        </w:rPr>
      </w:pPr>
      <w:r>
        <w:rPr>
          <w:noProof/>
          <w:sz w:val="22"/>
        </w:rPr>
        <w:drawing>
          <wp:inline distT="0" distB="0" distL="0" distR="0" wp14:anchorId="173A1E5F">
            <wp:extent cx="5217540" cy="254064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5942" cy="2549604"/>
                    </a:xfrm>
                    <a:prstGeom prst="rect">
                      <a:avLst/>
                    </a:prstGeom>
                    <a:noFill/>
                  </pic:spPr>
                </pic:pic>
              </a:graphicData>
            </a:graphic>
          </wp:inline>
        </w:drawing>
      </w:r>
    </w:p>
    <w:p w:rsidR="00380DD4" w:rsidRDefault="00380DD4" w:rsidP="00380DD4">
      <w:pPr>
        <w:spacing w:after="0" w:line="259" w:lineRule="auto"/>
        <w:ind w:left="407" w:right="0" w:firstLine="0"/>
        <w:jc w:val="center"/>
        <w:rPr>
          <w:sz w:val="22"/>
          <w:rtl/>
        </w:rPr>
      </w:pPr>
      <w:r>
        <w:rPr>
          <w:noProof/>
        </w:rPr>
        <w:lastRenderedPageBreak/>
        <w:drawing>
          <wp:inline distT="0" distB="0" distL="0" distR="0" wp14:anchorId="6EEAFD26" wp14:editId="178F4254">
            <wp:extent cx="6840267" cy="3359889"/>
            <wp:effectExtent l="0" t="0" r="0" b="0"/>
            <wp:docPr id="2" name="Picture 2" descr="مراحل تجزئة الخلايا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راحل تجزئة الخلايا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2596" cy="3361033"/>
                    </a:xfrm>
                    <a:prstGeom prst="rect">
                      <a:avLst/>
                    </a:prstGeom>
                    <a:noFill/>
                    <a:ln>
                      <a:noFill/>
                    </a:ln>
                  </pic:spPr>
                </pic:pic>
              </a:graphicData>
            </a:graphic>
          </wp:inline>
        </w:drawing>
      </w:r>
    </w:p>
    <w:p w:rsidR="00380DD4" w:rsidRDefault="00380DD4" w:rsidP="0057545F">
      <w:pPr>
        <w:spacing w:after="0" w:line="259" w:lineRule="auto"/>
        <w:ind w:left="407" w:right="0" w:firstLine="0"/>
        <w:jc w:val="center"/>
        <w:rPr>
          <w:sz w:val="22"/>
          <w:rtl/>
        </w:rPr>
      </w:pPr>
    </w:p>
    <w:p w:rsidR="00380DD4" w:rsidRDefault="00380DD4" w:rsidP="00380DD4">
      <w:pPr>
        <w:spacing w:after="0" w:line="259" w:lineRule="auto"/>
        <w:ind w:left="407" w:right="0" w:firstLine="0"/>
        <w:jc w:val="center"/>
        <w:rPr>
          <w:sz w:val="22"/>
          <w:rtl/>
        </w:rPr>
      </w:pPr>
      <w:r>
        <w:rPr>
          <w:noProof/>
        </w:rPr>
        <w:drawing>
          <wp:inline distT="0" distB="0" distL="0" distR="0" wp14:anchorId="69E82BFA" wp14:editId="2C434431">
            <wp:extent cx="6838641" cy="3094074"/>
            <wp:effectExtent l="0" t="0" r="0" b="0"/>
            <wp:docPr id="4" name="Picture 4" descr="مراحل تجزئة الخلايا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مراحل تجزئة الخلايا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1818" cy="3100036"/>
                    </a:xfrm>
                    <a:prstGeom prst="rect">
                      <a:avLst/>
                    </a:prstGeom>
                    <a:noFill/>
                    <a:ln>
                      <a:noFill/>
                    </a:ln>
                  </pic:spPr>
                </pic:pic>
              </a:graphicData>
            </a:graphic>
          </wp:inline>
        </w:drawing>
      </w:r>
    </w:p>
    <w:p w:rsidR="00380DD4" w:rsidRDefault="00380DD4" w:rsidP="000F4A5B">
      <w:pPr>
        <w:spacing w:after="0" w:line="259" w:lineRule="auto"/>
        <w:ind w:left="407" w:right="0" w:firstLine="0"/>
        <w:jc w:val="center"/>
        <w:rPr>
          <w:sz w:val="22"/>
          <w:rtl/>
        </w:rPr>
      </w:pPr>
    </w:p>
    <w:p w:rsidR="00380DD4" w:rsidRDefault="00380DD4" w:rsidP="00380DD4">
      <w:pPr>
        <w:spacing w:after="0" w:line="259" w:lineRule="auto"/>
        <w:ind w:left="407" w:right="0" w:firstLine="0"/>
        <w:jc w:val="center"/>
        <w:rPr>
          <w:sz w:val="22"/>
          <w:rtl/>
        </w:rPr>
      </w:pPr>
      <w:r w:rsidRPr="00380DD4">
        <w:rPr>
          <w:sz w:val="22"/>
        </w:rPr>
        <w:drawing>
          <wp:inline distT="0" distB="0" distL="0" distR="0" wp14:anchorId="5AFEF357" wp14:editId="01CA26A1">
            <wp:extent cx="6336665" cy="2945219"/>
            <wp:effectExtent l="0" t="0" r="6985" b="7620"/>
            <wp:docPr id="1" name="Picture 1" descr="مراحل تجزئة الخلايا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راحل تجزئة الخلايا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3334" cy="2957614"/>
                    </a:xfrm>
                    <a:prstGeom prst="rect">
                      <a:avLst/>
                    </a:prstGeom>
                    <a:noFill/>
                    <a:ln>
                      <a:noFill/>
                    </a:ln>
                  </pic:spPr>
                </pic:pic>
              </a:graphicData>
            </a:graphic>
          </wp:inline>
        </w:drawing>
      </w:r>
    </w:p>
    <w:p w:rsidR="000F4A5B" w:rsidRPr="00C7794A" w:rsidRDefault="000F4A5B" w:rsidP="00380DD4">
      <w:pPr>
        <w:spacing w:after="0" w:line="259" w:lineRule="auto"/>
        <w:ind w:left="0" w:right="0" w:firstLine="0"/>
        <w:rPr>
          <w:sz w:val="22"/>
        </w:rPr>
      </w:pPr>
    </w:p>
    <w:p w:rsidR="000F4A5B" w:rsidRPr="00527C2A" w:rsidRDefault="000F4A5B" w:rsidP="000F4A5B">
      <w:pPr>
        <w:spacing w:after="0" w:line="259" w:lineRule="auto"/>
        <w:ind w:left="407" w:right="0" w:firstLine="0"/>
        <w:jc w:val="center"/>
        <w:rPr>
          <w:b/>
          <w:bCs/>
          <w:sz w:val="28"/>
          <w:szCs w:val="28"/>
          <w:lang w:val="en-US"/>
        </w:rPr>
      </w:pPr>
      <w:r w:rsidRPr="00527C2A">
        <w:rPr>
          <w:b/>
          <w:bCs/>
          <w:sz w:val="28"/>
          <w:szCs w:val="28"/>
          <w:lang w:val="en-US"/>
        </w:rPr>
        <w:lastRenderedPageBreak/>
        <w:t>1.2. Density Gradient Centrifugation (Figure 2)</w:t>
      </w:r>
    </w:p>
    <w:p w:rsidR="00527C2A" w:rsidRDefault="000F4A5B" w:rsidP="000F4A5B">
      <w:pPr>
        <w:spacing w:after="0" w:line="259" w:lineRule="auto"/>
        <w:ind w:left="407" w:right="0" w:firstLine="0"/>
        <w:jc w:val="center"/>
        <w:rPr>
          <w:sz w:val="28"/>
          <w:szCs w:val="28"/>
          <w:rtl/>
          <w:lang w:val="en-US"/>
        </w:rPr>
      </w:pPr>
      <w:r w:rsidRPr="00527C2A">
        <w:rPr>
          <w:sz w:val="28"/>
          <w:szCs w:val="28"/>
          <w:lang w:val="en-US"/>
        </w:rPr>
        <w:t xml:space="preserve">Some organelles and macromolecules sediment at very similar rates, making them difficult to separate using differential ultracentrifugation. This is the case for mitochondria, lysosomes, and peroxisomes. </w:t>
      </w:r>
    </w:p>
    <w:p w:rsidR="000F4A5B" w:rsidRPr="00527C2A" w:rsidRDefault="000F4A5B" w:rsidP="00527C2A">
      <w:pPr>
        <w:spacing w:after="0" w:line="259" w:lineRule="auto"/>
        <w:ind w:left="407" w:right="0" w:firstLine="0"/>
        <w:rPr>
          <w:sz w:val="28"/>
          <w:szCs w:val="28"/>
          <w:lang w:val="en-US"/>
        </w:rPr>
      </w:pPr>
      <w:r w:rsidRPr="00527C2A">
        <w:rPr>
          <w:sz w:val="28"/>
          <w:szCs w:val="28"/>
          <w:lang w:val="en-US"/>
        </w:rPr>
        <w:t xml:space="preserve">The density gradient ultracentrifugation (DGU) technique allows for the separation of cellular organelles and even small biological particles that have very slight differences in their properties, </w:t>
      </w:r>
      <w:r w:rsidRPr="002E0D12">
        <w:rPr>
          <w:b/>
          <w:bCs/>
          <w:sz w:val="28"/>
          <w:szCs w:val="28"/>
          <w:lang w:val="en-US"/>
        </w:rPr>
        <w:t>based on their density</w:t>
      </w:r>
      <w:r w:rsidRPr="00527C2A">
        <w:rPr>
          <w:sz w:val="28"/>
          <w:szCs w:val="28"/>
          <w:lang w:val="en-US"/>
        </w:rPr>
        <w:t>.</w:t>
      </w:r>
    </w:p>
    <w:p w:rsidR="000F4A5B" w:rsidRPr="00527C2A" w:rsidRDefault="000F4A5B" w:rsidP="000F4A5B">
      <w:pPr>
        <w:spacing w:after="0" w:line="259" w:lineRule="auto"/>
        <w:ind w:left="407" w:right="0" w:firstLine="0"/>
        <w:jc w:val="center"/>
        <w:rPr>
          <w:sz w:val="28"/>
          <w:szCs w:val="28"/>
        </w:rPr>
      </w:pPr>
      <w:r w:rsidRPr="00527C2A">
        <w:rPr>
          <w:b/>
          <w:bCs/>
          <w:sz w:val="28"/>
          <w:szCs w:val="28"/>
        </w:rPr>
        <w:t xml:space="preserve">1.2.2. </w:t>
      </w:r>
      <w:r w:rsidRPr="00527C2A">
        <w:rPr>
          <w:b/>
          <w:bCs/>
          <w:sz w:val="28"/>
          <w:szCs w:val="28"/>
          <w:rtl/>
        </w:rPr>
        <w:t>الطرد المركزي على التدرج الكثافة (الشكل 2)</w:t>
      </w:r>
    </w:p>
    <w:p w:rsidR="000F4A5B" w:rsidRPr="00527C2A" w:rsidRDefault="000F4A5B" w:rsidP="000F4A5B">
      <w:pPr>
        <w:spacing w:after="0" w:line="259" w:lineRule="auto"/>
        <w:ind w:left="407" w:right="0" w:firstLine="0"/>
        <w:jc w:val="center"/>
        <w:rPr>
          <w:sz w:val="28"/>
          <w:szCs w:val="28"/>
        </w:rPr>
      </w:pPr>
      <w:r w:rsidRPr="00527C2A">
        <w:rPr>
          <w:sz w:val="28"/>
          <w:szCs w:val="28"/>
          <w:rtl/>
        </w:rPr>
        <w:t>بعض العضيات والجزيئات الكبيرة تترسب بمعدلات مشابهة للغاية، مما يجعل من الصعب فصلها باستخدام الطرد المركزي التفاضلي الفائق. وهذا هو الحال بالنسبة للميتوكوندريا، الليسوسومات، والبيروكسيسومات. تسمح تقنية الطرد المركزي الفائق على التدرج الكثافة</w:t>
      </w:r>
      <w:r w:rsidRPr="00527C2A">
        <w:rPr>
          <w:sz w:val="28"/>
          <w:szCs w:val="28"/>
        </w:rPr>
        <w:t xml:space="preserve"> (DGU) </w:t>
      </w:r>
      <w:r w:rsidRPr="00527C2A">
        <w:rPr>
          <w:sz w:val="28"/>
          <w:szCs w:val="28"/>
          <w:rtl/>
        </w:rPr>
        <w:t>بفصل العضيات الخلوية وحتى الجسيمات البيولوجية الصغيرة التي لها اختلافات طفيفة في خصائصها، بناءً على كثافتها</w:t>
      </w:r>
      <w:r w:rsidRPr="00527C2A">
        <w:rPr>
          <w:sz w:val="28"/>
          <w:szCs w:val="28"/>
        </w:rPr>
        <w:t>.</w:t>
      </w:r>
    </w:p>
    <w:p w:rsidR="000F4A5B" w:rsidRDefault="000F4A5B" w:rsidP="000F4A5B"/>
    <w:p w:rsidR="00527C2A" w:rsidRDefault="00527C2A"/>
    <w:p w:rsidR="00527C2A" w:rsidRDefault="00527C2A" w:rsidP="00527C2A">
      <w:pPr>
        <w:jc w:val="center"/>
      </w:pPr>
      <w:r>
        <w:rPr>
          <w:noProof/>
        </w:rPr>
        <w:drawing>
          <wp:inline distT="0" distB="0" distL="0" distR="0" wp14:anchorId="38310431" wp14:editId="7A568896">
            <wp:extent cx="5283232" cy="1914809"/>
            <wp:effectExtent l="0" t="0" r="0" b="9525"/>
            <wp:docPr id="6" name="Picture 6" descr="Schematic representative of gradient density ultracentrifu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tic representative of gradient density ultracentrifugatio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8056" cy="1916557"/>
                    </a:xfrm>
                    <a:prstGeom prst="rect">
                      <a:avLst/>
                    </a:prstGeom>
                    <a:noFill/>
                    <a:ln>
                      <a:noFill/>
                    </a:ln>
                  </pic:spPr>
                </pic:pic>
              </a:graphicData>
            </a:graphic>
          </wp:inline>
        </w:drawing>
      </w:r>
    </w:p>
    <w:p w:rsidR="00527C2A" w:rsidRPr="00527C2A" w:rsidRDefault="00527C2A" w:rsidP="00527C2A"/>
    <w:p w:rsidR="00527C2A" w:rsidRDefault="00527C2A" w:rsidP="00527C2A"/>
    <w:p w:rsidR="002E0D12" w:rsidRDefault="00527C2A" w:rsidP="00527C2A">
      <w:pPr>
        <w:jc w:val="center"/>
      </w:pPr>
      <w:r>
        <w:rPr>
          <w:noProof/>
        </w:rPr>
        <w:drawing>
          <wp:inline distT="0" distB="0" distL="0" distR="0" wp14:anchorId="0FDA99A2" wp14:editId="171609DF">
            <wp:extent cx="6150539" cy="1917039"/>
            <wp:effectExtent l="0" t="0" r="3175" b="7620"/>
            <wp:docPr id="7" name="Picture 7" descr="Density gradient ultracentrifugation. Schematic picture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sity gradient ultracentrifugation. Schematic picture of th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4756" cy="1918353"/>
                    </a:xfrm>
                    <a:prstGeom prst="rect">
                      <a:avLst/>
                    </a:prstGeom>
                    <a:noFill/>
                    <a:ln>
                      <a:noFill/>
                    </a:ln>
                  </pic:spPr>
                </pic:pic>
              </a:graphicData>
            </a:graphic>
          </wp:inline>
        </w:drawing>
      </w:r>
    </w:p>
    <w:p w:rsidR="002E0D12" w:rsidRPr="002E0D12" w:rsidRDefault="002E0D12" w:rsidP="002E0D12"/>
    <w:p w:rsidR="002E0D12" w:rsidRDefault="002E0D12" w:rsidP="002E0D12"/>
    <w:p w:rsidR="00C64620" w:rsidRPr="002E0D12" w:rsidRDefault="002E0D12" w:rsidP="002E0D12">
      <w:pPr>
        <w:tabs>
          <w:tab w:val="left" w:pos="3591"/>
        </w:tabs>
        <w:jc w:val="center"/>
      </w:pPr>
      <w:bookmarkStart w:id="0" w:name="_GoBack"/>
      <w:r>
        <w:rPr>
          <w:noProof/>
        </w:rPr>
        <w:drawing>
          <wp:inline distT="0" distB="0" distL="0" distR="0" wp14:anchorId="6FDD6849" wp14:editId="7E6D6AC5">
            <wp:extent cx="4580999" cy="2002420"/>
            <wp:effectExtent l="0" t="0" r="0" b="0"/>
            <wp:docPr id="8" name="Picture 8" descr="Gradient Centrifugation의 원리와 응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dient Centrifugation의 원리와 응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412" cy="2014403"/>
                    </a:xfrm>
                    <a:prstGeom prst="rect">
                      <a:avLst/>
                    </a:prstGeom>
                    <a:noFill/>
                    <a:ln>
                      <a:noFill/>
                    </a:ln>
                  </pic:spPr>
                </pic:pic>
              </a:graphicData>
            </a:graphic>
          </wp:inline>
        </w:drawing>
      </w:r>
      <w:bookmarkEnd w:id="0"/>
    </w:p>
    <w:sectPr w:rsidR="00C64620" w:rsidRPr="002E0D12" w:rsidSect="0057545F">
      <w:pgSz w:w="11906" w:h="16838"/>
      <w:pgMar w:top="709"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FA"/>
    <w:rsid w:val="000F4A5B"/>
    <w:rsid w:val="002E0D12"/>
    <w:rsid w:val="00380DD4"/>
    <w:rsid w:val="004812FA"/>
    <w:rsid w:val="00527C2A"/>
    <w:rsid w:val="0057545F"/>
    <w:rsid w:val="00C646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01D3"/>
  <w15:chartTrackingRefBased/>
  <w15:docId w15:val="{DAB41E59-2A75-4A14-8C5D-3861413A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A5B"/>
    <w:pPr>
      <w:spacing w:after="16" w:line="248" w:lineRule="auto"/>
      <w:ind w:left="954" w:right="383" w:hanging="10"/>
    </w:pPr>
    <w:rPr>
      <w:rFonts w:ascii="Times New Roman" w:eastAsia="Times New Roman" w:hAnsi="Times New Roman" w:cs="Times New Roman"/>
      <w:color w:val="000000"/>
      <w:sz w:val="24"/>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352</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dcterms:created xsi:type="dcterms:W3CDTF">2025-03-03T07:34:00Z</dcterms:created>
  <dcterms:modified xsi:type="dcterms:W3CDTF">2025-03-03T08:24:00Z</dcterms:modified>
</cp:coreProperties>
</file>