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61A" w:rsidRDefault="002C661A">
      <w:pPr>
        <w:spacing w:after="0" w:line="200" w:lineRule="atLeast"/>
        <w:jc w:val="center"/>
        <w:rPr>
          <w:b/>
          <w:color w:val="000000"/>
          <w:sz w:val="24"/>
        </w:rPr>
      </w:pPr>
    </w:p>
    <w:p w:rsidR="002C661A" w:rsidRPr="003D77CC" w:rsidRDefault="002A727D">
      <w:pPr>
        <w:spacing w:after="0" w:line="200" w:lineRule="atLeast"/>
        <w:jc w:val="center"/>
        <w:rPr>
          <w:rFonts w:ascii="Lucida Sans"/>
          <w:color w:val="FFFFFF"/>
          <w:sz w:val="32"/>
          <w:szCs w:val="32"/>
        </w:rPr>
      </w:pPr>
      <w:r w:rsidRPr="003D77CC">
        <w:rPr>
          <w:b/>
          <w:color w:val="000000"/>
          <w:sz w:val="32"/>
          <w:szCs w:val="32"/>
        </w:rPr>
        <w:t>Les Staphylocoques</w:t>
      </w:r>
    </w:p>
    <w:p w:rsidR="002C661A" w:rsidRPr="003D77CC" w:rsidRDefault="002A727D">
      <w:pPr>
        <w:spacing w:after="0" w:line="360" w:lineRule="auto"/>
        <w:jc w:val="both"/>
        <w:rPr>
          <w:rFonts w:ascii="Times New Roman"/>
          <w:color w:val="FFFFFF"/>
          <w:sz w:val="32"/>
          <w:szCs w:val="32"/>
        </w:rPr>
      </w:pPr>
      <w:r w:rsidRPr="003D77CC">
        <w:rPr>
          <w:rFonts w:ascii="Times New Roman"/>
          <w:b/>
          <w:color w:val="000000"/>
          <w:sz w:val="32"/>
          <w:szCs w:val="32"/>
        </w:rPr>
        <w:t>Définition</w:t>
      </w:r>
    </w:p>
    <w:p w:rsidR="002C661A" w:rsidRDefault="002A727D">
      <w:pPr>
        <w:spacing w:after="0" w:line="360" w:lineRule="auto"/>
        <w:jc w:val="both"/>
        <w:rPr>
          <w:rFonts w:ascii="Times New Roman"/>
          <w:color w:val="FFFFFF"/>
          <w:sz w:val="24"/>
        </w:rPr>
      </w:pPr>
      <w:r>
        <w:rPr>
          <w:rFonts w:ascii="Times New Roman"/>
          <w:color w:val="000000"/>
          <w:sz w:val="24"/>
        </w:rPr>
        <w:t xml:space="preserve">Les bactéries du genre </w:t>
      </w:r>
      <w:r>
        <w:rPr>
          <w:rFonts w:ascii="Times New Roman"/>
          <w:i/>
          <w:color w:val="000000"/>
          <w:sz w:val="24"/>
        </w:rPr>
        <w:t xml:space="preserve">Staphylococcus sont des coques (cocci) à Gram positif, groupés en amas </w:t>
      </w:r>
      <w:r>
        <w:rPr>
          <w:rFonts w:ascii="Times New Roman"/>
          <w:color w:val="000000"/>
          <w:sz w:val="24"/>
        </w:rPr>
        <w:t xml:space="preserve">ayant la forme de grappes de raisin, immobiles, non sporulés, catalase positive et oxydase négative. Parmi les 27 espèces du genre actuellement répertoriées, les principales sont </w:t>
      </w:r>
      <w:r>
        <w:rPr>
          <w:rFonts w:ascii="Times New Roman"/>
          <w:i/>
          <w:color w:val="000000"/>
          <w:sz w:val="24"/>
        </w:rPr>
        <w:t xml:space="preserve">Staphylococcus aureus, S.epidermidis et S.saprophyticus. L'espèce S.aureus </w:t>
      </w:r>
      <w:r>
        <w:rPr>
          <w:rFonts w:ascii="Times New Roman"/>
          <w:color w:val="000000"/>
          <w:sz w:val="24"/>
        </w:rPr>
        <w:t>est la plus fréquemment impliquée dans les infections d’origine alimentaire, elle se distingue des autres espèces par la pigmentation jaune d’or de ses colonies, par une coagulase active sur le plasma humain et du lapin.</w:t>
      </w:r>
    </w:p>
    <w:p w:rsidR="002C661A" w:rsidRDefault="002C661A">
      <w:pPr>
        <w:spacing w:after="0" w:line="360" w:lineRule="auto"/>
        <w:jc w:val="both"/>
        <w:rPr>
          <w:rFonts w:ascii="Times New Roman"/>
          <w:color w:val="FFFFFF"/>
          <w:sz w:val="24"/>
        </w:rPr>
      </w:pPr>
    </w:p>
    <w:p w:rsidR="002C661A" w:rsidRDefault="002A727D">
      <w:pPr>
        <w:spacing w:after="0" w:line="360" w:lineRule="auto"/>
        <w:jc w:val="both"/>
        <w:rPr>
          <w:rFonts w:ascii="Times New Roman"/>
          <w:color w:val="FFFFFF"/>
          <w:sz w:val="24"/>
        </w:rPr>
      </w:pPr>
      <w:r>
        <w:rPr>
          <w:rFonts w:ascii="Times New Roman"/>
          <w:b/>
          <w:color w:val="000000"/>
          <w:sz w:val="24"/>
        </w:rPr>
        <w:t>Habitat</w:t>
      </w:r>
    </w:p>
    <w:p w:rsidR="002C661A" w:rsidRDefault="002A727D">
      <w:pPr>
        <w:spacing w:after="0" w:line="360" w:lineRule="auto"/>
        <w:jc w:val="both"/>
        <w:rPr>
          <w:rFonts w:ascii="Times New Roman"/>
          <w:color w:val="FFFFFF"/>
          <w:sz w:val="24"/>
        </w:rPr>
      </w:pPr>
      <w:r>
        <w:rPr>
          <w:rFonts w:ascii="Times New Roman"/>
          <w:i/>
          <w:color w:val="000000"/>
          <w:sz w:val="24"/>
        </w:rPr>
        <w:t xml:space="preserve">S.aureus </w:t>
      </w:r>
      <w:r>
        <w:rPr>
          <w:rFonts w:ascii="Times New Roman"/>
          <w:color w:val="000000"/>
          <w:sz w:val="24"/>
        </w:rPr>
        <w:t>est un commensal de la peau et des muqueuses de l’homme et des animaux (rhino-pharynx, intestin). On le trouve sur la muqueuse nasale d’un tiers environ des sujets normaux. Eliminé dans le milieu extérieur, cette bactérie peut survivre longtemps dans l’environnement.</w:t>
      </w:r>
    </w:p>
    <w:p w:rsidR="002C661A" w:rsidRDefault="002C661A">
      <w:pPr>
        <w:spacing w:after="0" w:line="360" w:lineRule="auto"/>
        <w:jc w:val="both"/>
        <w:rPr>
          <w:rFonts w:ascii="Times New Roman"/>
          <w:color w:val="FFFFFF"/>
          <w:sz w:val="24"/>
        </w:rPr>
      </w:pPr>
    </w:p>
    <w:p w:rsidR="002C661A" w:rsidRDefault="002A727D">
      <w:pPr>
        <w:spacing w:after="0" w:line="360" w:lineRule="auto"/>
        <w:jc w:val="both"/>
        <w:rPr>
          <w:rFonts w:ascii="Times New Roman"/>
          <w:color w:val="FFFFFF"/>
          <w:sz w:val="24"/>
        </w:rPr>
      </w:pPr>
      <w:r>
        <w:rPr>
          <w:rFonts w:ascii="Times New Roman"/>
          <w:b/>
          <w:color w:val="000000"/>
          <w:sz w:val="24"/>
        </w:rPr>
        <w:t>Caractères biochimiques</w:t>
      </w:r>
    </w:p>
    <w:p w:rsidR="002C661A" w:rsidRDefault="002A727D">
      <w:pPr>
        <w:spacing w:after="0" w:line="360" w:lineRule="auto"/>
        <w:jc w:val="both"/>
        <w:rPr>
          <w:rFonts w:ascii="Times New Roman"/>
          <w:color w:val="FFFFFF"/>
          <w:sz w:val="24"/>
        </w:rPr>
      </w:pPr>
      <w:r>
        <w:rPr>
          <w:rFonts w:ascii="Times New Roman"/>
          <w:i/>
          <w:color w:val="000000"/>
          <w:sz w:val="24"/>
        </w:rPr>
        <w:t xml:space="preserve">S.aureus </w:t>
      </w:r>
      <w:r>
        <w:rPr>
          <w:rFonts w:ascii="Times New Roman"/>
          <w:color w:val="000000"/>
          <w:sz w:val="24"/>
        </w:rPr>
        <w:t>a un métabolisme aéro-anaérobie . Il est catalase positive. Il est toutefois capable de fermenter le glucose (métabolisme anaérobie</w:t>
      </w:r>
      <w:r>
        <w:rPr>
          <w:rFonts w:ascii="Times New Roman"/>
          <w:i/>
          <w:color w:val="000000"/>
          <w:sz w:val="24"/>
        </w:rPr>
        <w:t xml:space="preserve">) </w:t>
      </w:r>
      <w:r>
        <w:rPr>
          <w:rFonts w:ascii="Times New Roman"/>
          <w:color w:val="000000"/>
          <w:sz w:val="24"/>
        </w:rPr>
        <w:t xml:space="preserve">est habituellement capable de fermenter </w:t>
      </w:r>
      <w:r>
        <w:rPr>
          <w:rFonts w:ascii="Times New Roman"/>
          <w:i/>
          <w:color w:val="000000"/>
          <w:sz w:val="24"/>
        </w:rPr>
        <w:t xml:space="preserve">le mannitol. </w:t>
      </w:r>
      <w:r>
        <w:rPr>
          <w:rFonts w:ascii="Times New Roman"/>
          <w:color w:val="000000"/>
          <w:sz w:val="24"/>
        </w:rPr>
        <w:t>Il est utilisé dans le milieu de CHAPMAN. La fermentation se traduit par le virage au jaune du milieu de culture.</w:t>
      </w:r>
    </w:p>
    <w:p w:rsidR="002C661A" w:rsidRDefault="002C661A">
      <w:pPr>
        <w:spacing w:after="0" w:line="200" w:lineRule="atLeast"/>
        <w:jc w:val="both"/>
        <w:rPr>
          <w:rFonts w:ascii="Lucida Sans"/>
          <w:color w:val="FFFFFF"/>
          <w:sz w:val="24"/>
        </w:rPr>
      </w:pPr>
    </w:p>
    <w:p w:rsidR="002C661A" w:rsidRDefault="002C661A">
      <w:pPr>
        <w:spacing w:after="0" w:line="200" w:lineRule="atLeast"/>
        <w:jc w:val="both"/>
        <w:rPr>
          <w:rFonts w:ascii="Times New Roman"/>
          <w:b/>
          <w:color w:val="000000"/>
          <w:sz w:val="24"/>
        </w:rPr>
      </w:pPr>
    </w:p>
    <w:p w:rsidR="002C661A" w:rsidRDefault="002A727D">
      <w:pPr>
        <w:spacing w:after="0" w:line="200" w:lineRule="atLeast"/>
        <w:jc w:val="both"/>
        <w:rPr>
          <w:rFonts w:ascii="Times New Roman"/>
          <w:color w:val="FFFFFF"/>
          <w:sz w:val="24"/>
        </w:rPr>
      </w:pPr>
      <w:r>
        <w:rPr>
          <w:rFonts w:ascii="Times New Roman"/>
          <w:b/>
          <w:color w:val="000000"/>
          <w:sz w:val="24"/>
        </w:rPr>
        <w:t>Facteurs de virulence de physiopathologie</w:t>
      </w:r>
    </w:p>
    <w:p w:rsidR="002C661A" w:rsidRDefault="002C661A">
      <w:pPr>
        <w:spacing w:after="0" w:line="200" w:lineRule="atLeast"/>
        <w:jc w:val="both"/>
        <w:rPr>
          <w:rFonts w:ascii="Times New Roman"/>
          <w:color w:val="FFFFFF"/>
          <w:sz w:val="24"/>
        </w:rPr>
      </w:pPr>
    </w:p>
    <w:p w:rsidR="002C661A" w:rsidRDefault="002C661A" w:rsidP="007252B7">
      <w:pPr>
        <w:spacing w:after="0" w:line="200" w:lineRule="atLeast"/>
        <w:jc w:val="both"/>
        <w:rPr>
          <w:rFonts w:ascii="Times New Roman"/>
          <w:color w:val="FFFFFF"/>
          <w:sz w:val="24"/>
        </w:rPr>
      </w:pPr>
    </w:p>
    <w:p w:rsidR="002C661A" w:rsidRDefault="002A727D">
      <w:pPr>
        <w:spacing w:after="0" w:line="360" w:lineRule="auto"/>
        <w:jc w:val="both"/>
        <w:rPr>
          <w:rFonts w:ascii="Times New Roman"/>
          <w:color w:val="FFFFFF"/>
          <w:sz w:val="24"/>
        </w:rPr>
      </w:pPr>
      <w:r>
        <w:rPr>
          <w:rFonts w:ascii="Times New Roman"/>
          <w:b/>
          <w:color w:val="000000"/>
          <w:sz w:val="24"/>
        </w:rPr>
        <w:t>- Facteurs d'invasion et d'adhésion</w:t>
      </w:r>
    </w:p>
    <w:p w:rsidR="002C661A" w:rsidRDefault="002A727D">
      <w:pPr>
        <w:spacing w:after="0" w:line="360" w:lineRule="auto"/>
        <w:jc w:val="both"/>
        <w:rPr>
          <w:rFonts w:ascii="Times New Roman"/>
          <w:color w:val="FFFFFF"/>
          <w:sz w:val="24"/>
        </w:rPr>
      </w:pPr>
      <w:r>
        <w:rPr>
          <w:rFonts w:ascii="Times New Roman"/>
          <w:i/>
          <w:color w:val="000000"/>
          <w:sz w:val="24"/>
        </w:rPr>
        <w:t xml:space="preserve">S.aureus colonise la peau et les muqueuses en adhérant aux cellules et aux composants de la matrice </w:t>
      </w:r>
      <w:r>
        <w:rPr>
          <w:rFonts w:ascii="Times New Roman"/>
          <w:color w:val="000000"/>
          <w:sz w:val="24"/>
        </w:rPr>
        <w:t xml:space="preserve">extracellulaire. </w:t>
      </w:r>
      <w:r>
        <w:rPr>
          <w:rFonts w:ascii="Times New Roman"/>
          <w:i/>
          <w:color w:val="000000"/>
          <w:sz w:val="24"/>
        </w:rPr>
        <w:t xml:space="preserve">S.aureus se fixe aux cellules par l'intermédiaire de protéines de surface, les </w:t>
      </w:r>
      <w:r>
        <w:rPr>
          <w:rFonts w:ascii="Times New Roman"/>
          <w:color w:val="000000"/>
          <w:sz w:val="24"/>
        </w:rPr>
        <w:t>adhésines, qui sont ancrées dans le peptidoglycane.</w:t>
      </w:r>
    </w:p>
    <w:p w:rsidR="002C661A" w:rsidRDefault="002A727D">
      <w:pPr>
        <w:spacing w:after="0" w:line="360" w:lineRule="auto"/>
        <w:jc w:val="both"/>
        <w:rPr>
          <w:rFonts w:ascii="Times New Roman"/>
          <w:color w:val="FFFFFF"/>
          <w:sz w:val="24"/>
        </w:rPr>
      </w:pPr>
      <w:r>
        <w:rPr>
          <w:rFonts w:ascii="Times New Roman"/>
          <w:color w:val="000000"/>
          <w:sz w:val="24"/>
        </w:rPr>
        <w:t>Une  fois dans le tissu, il sécrète de la hyaluronidase, enzyme qui lui permet la propagation dans le tissu.</w:t>
      </w:r>
    </w:p>
    <w:p w:rsidR="002C661A" w:rsidRDefault="002A727D">
      <w:pPr>
        <w:spacing w:after="0" w:line="360" w:lineRule="auto"/>
        <w:jc w:val="both"/>
        <w:rPr>
          <w:rFonts w:ascii="Times New Roman"/>
          <w:color w:val="FFFFFF"/>
          <w:sz w:val="24"/>
        </w:rPr>
      </w:pPr>
      <w:r>
        <w:rPr>
          <w:rFonts w:ascii="Times New Roman"/>
          <w:b/>
          <w:color w:val="000000"/>
          <w:sz w:val="24"/>
        </w:rPr>
        <w:lastRenderedPageBreak/>
        <w:t xml:space="preserve">- Substances élaborées par </w:t>
      </w:r>
      <w:r>
        <w:rPr>
          <w:rFonts w:ascii="Times New Roman"/>
          <w:b/>
          <w:i/>
          <w:color w:val="000000"/>
          <w:sz w:val="24"/>
        </w:rPr>
        <w:t>S.aureus</w:t>
      </w:r>
    </w:p>
    <w:p w:rsidR="002C661A" w:rsidRDefault="002A727D">
      <w:pPr>
        <w:spacing w:after="0" w:line="360" w:lineRule="auto"/>
        <w:jc w:val="both"/>
        <w:rPr>
          <w:rFonts w:ascii="Times New Roman"/>
          <w:color w:val="000000"/>
          <w:sz w:val="24"/>
        </w:rPr>
      </w:pPr>
      <w:r>
        <w:rPr>
          <w:rFonts w:ascii="Times New Roman"/>
          <w:i/>
          <w:color w:val="000000"/>
          <w:sz w:val="24"/>
        </w:rPr>
        <w:t xml:space="preserve">S.aureus élabore des protéines diffusibles douées soit d'activité toxique, soit d'activité seulement </w:t>
      </w:r>
      <w:r>
        <w:rPr>
          <w:rFonts w:ascii="Times New Roman"/>
          <w:color w:val="000000"/>
          <w:sz w:val="24"/>
        </w:rPr>
        <w:t>enzymatique.</w:t>
      </w:r>
    </w:p>
    <w:p w:rsidR="002C661A" w:rsidRDefault="002C661A">
      <w:pPr>
        <w:spacing w:after="0" w:line="360" w:lineRule="auto"/>
        <w:jc w:val="both"/>
        <w:rPr>
          <w:rFonts w:ascii="Times New Roman"/>
          <w:color w:val="FFFFFF"/>
          <w:sz w:val="24"/>
        </w:rPr>
      </w:pPr>
    </w:p>
    <w:p w:rsidR="002C661A" w:rsidRDefault="002A727D">
      <w:pPr>
        <w:spacing w:after="0" w:line="360" w:lineRule="auto"/>
        <w:jc w:val="both"/>
        <w:rPr>
          <w:rFonts w:ascii="Times New Roman"/>
          <w:color w:val="FFFFFF"/>
          <w:sz w:val="24"/>
        </w:rPr>
      </w:pPr>
      <w:r>
        <w:rPr>
          <w:rFonts w:ascii="Times New Roman"/>
          <w:b/>
          <w:color w:val="000000"/>
          <w:sz w:val="24"/>
        </w:rPr>
        <w:t>*  Les toxines</w:t>
      </w:r>
    </w:p>
    <w:p w:rsidR="002C661A" w:rsidRDefault="002A727D">
      <w:pPr>
        <w:spacing w:after="0" w:line="360" w:lineRule="auto"/>
        <w:jc w:val="both"/>
        <w:rPr>
          <w:rFonts w:ascii="Times New Roman"/>
          <w:color w:val="FFFFFF"/>
          <w:sz w:val="24"/>
        </w:rPr>
      </w:pPr>
      <w:r>
        <w:rPr>
          <w:rFonts w:ascii="Times New Roman"/>
          <w:color w:val="000000"/>
          <w:sz w:val="24"/>
        </w:rPr>
        <w:t>Cinq principales toxines sont décrites chez S.aureus :</w:t>
      </w:r>
    </w:p>
    <w:p w:rsidR="002C661A" w:rsidRDefault="002A727D">
      <w:pPr>
        <w:spacing w:after="0" w:line="360" w:lineRule="auto"/>
        <w:jc w:val="both"/>
        <w:rPr>
          <w:rFonts w:ascii="Times New Roman"/>
          <w:color w:val="FFFFFF"/>
          <w:sz w:val="24"/>
        </w:rPr>
      </w:pPr>
      <w:r>
        <w:rPr>
          <w:rFonts w:ascii="Times New Roman"/>
          <w:color w:val="000000"/>
          <w:sz w:val="24"/>
        </w:rPr>
        <w:t>Les hémolysines: les globules rouges et les plaquettes.</w:t>
      </w:r>
    </w:p>
    <w:p w:rsidR="002C661A" w:rsidRDefault="002A727D">
      <w:pPr>
        <w:spacing w:after="0" w:line="360" w:lineRule="auto"/>
        <w:jc w:val="both"/>
        <w:rPr>
          <w:rFonts w:ascii="Times New Roman"/>
          <w:color w:val="FFFFFF"/>
          <w:sz w:val="24"/>
        </w:rPr>
      </w:pPr>
      <w:r>
        <w:rPr>
          <w:rFonts w:ascii="Times New Roman"/>
          <w:color w:val="000000"/>
          <w:sz w:val="24"/>
        </w:rPr>
        <w:t>La leucocidine: les polynucléaires et les macrophages</w:t>
      </w:r>
    </w:p>
    <w:p w:rsidR="002C661A" w:rsidRDefault="002A727D">
      <w:pPr>
        <w:spacing w:after="0" w:line="360" w:lineRule="auto"/>
        <w:jc w:val="both"/>
        <w:rPr>
          <w:rFonts w:ascii="Times New Roman"/>
          <w:color w:val="FFFFFF"/>
          <w:sz w:val="24"/>
        </w:rPr>
      </w:pPr>
      <w:r>
        <w:rPr>
          <w:rFonts w:ascii="Times New Roman"/>
          <w:color w:val="000000"/>
          <w:sz w:val="24"/>
        </w:rPr>
        <w:t xml:space="preserve">L'exfoliatine:l'impetigo </w:t>
      </w:r>
    </w:p>
    <w:p w:rsidR="002C661A" w:rsidRDefault="002A727D">
      <w:pPr>
        <w:spacing w:after="0" w:line="360" w:lineRule="auto"/>
        <w:jc w:val="both"/>
        <w:rPr>
          <w:rFonts w:ascii="Times New Roman"/>
          <w:color w:val="000000"/>
          <w:sz w:val="24"/>
        </w:rPr>
      </w:pPr>
      <w:r>
        <w:rPr>
          <w:rFonts w:ascii="Times New Roman"/>
          <w:color w:val="000000"/>
          <w:sz w:val="24"/>
        </w:rPr>
        <w:t xml:space="preserve">Les entérotoxines, dont il existe 7 sérotypes différents (A, B, C1, C2, C3, D, E) sont des protéines </w:t>
      </w:r>
    </w:p>
    <w:p w:rsidR="002C661A" w:rsidRDefault="002C661A">
      <w:pPr>
        <w:spacing w:after="0" w:line="360" w:lineRule="auto"/>
        <w:jc w:val="both"/>
        <w:rPr>
          <w:rFonts w:ascii="Times New Roman"/>
          <w:color w:val="000000"/>
          <w:sz w:val="24"/>
        </w:rPr>
      </w:pPr>
    </w:p>
    <w:p w:rsidR="002C661A" w:rsidRDefault="002A727D">
      <w:pPr>
        <w:spacing w:after="0" w:line="360" w:lineRule="auto"/>
        <w:jc w:val="both"/>
        <w:rPr>
          <w:rFonts w:ascii="Times New Roman"/>
          <w:color w:val="000000"/>
          <w:sz w:val="24"/>
        </w:rPr>
      </w:pPr>
      <w:r>
        <w:rPr>
          <w:rFonts w:ascii="Times New Roman"/>
          <w:color w:val="000000"/>
          <w:sz w:val="24"/>
        </w:rPr>
        <w:t xml:space="preserve">Thermostables responsables d'intoxications alimentaires (diarrhée, vomissements, douleurs abdominales, rarement un collapsus cardiaque, qui apparaissent 1 à 6 heures après l'ingestion). De 30 à 60 % des souches de </w:t>
      </w:r>
      <w:r>
        <w:rPr>
          <w:rFonts w:ascii="Times New Roman"/>
          <w:i/>
          <w:color w:val="000000"/>
          <w:sz w:val="24"/>
        </w:rPr>
        <w:t xml:space="preserve">S.aureus </w:t>
      </w:r>
      <w:r>
        <w:rPr>
          <w:rFonts w:ascii="Times New Roman"/>
          <w:color w:val="000000"/>
          <w:sz w:val="24"/>
        </w:rPr>
        <w:t xml:space="preserve"> produisent une entérotoxine. La plus fréquente dans la gastroentérite est l’entérotoxineB.</w:t>
      </w:r>
    </w:p>
    <w:p w:rsidR="002C661A" w:rsidRDefault="002A727D">
      <w:pPr>
        <w:spacing w:after="0" w:line="360" w:lineRule="auto"/>
        <w:jc w:val="both"/>
        <w:rPr>
          <w:rFonts w:ascii="Times New Roman"/>
          <w:b/>
          <w:color w:val="FFFFFF"/>
          <w:sz w:val="24"/>
        </w:rPr>
      </w:pPr>
      <w:r>
        <w:rPr>
          <w:rFonts w:ascii="Times New Roman"/>
          <w:b/>
          <w:color w:val="000000"/>
          <w:sz w:val="24"/>
        </w:rPr>
        <w:t>La toxine responsable du choc toxique staphylococcique (TSST1)</w:t>
      </w:r>
    </w:p>
    <w:p w:rsidR="002C661A" w:rsidRDefault="002A727D">
      <w:pPr>
        <w:spacing w:after="0" w:line="360" w:lineRule="auto"/>
        <w:jc w:val="both"/>
        <w:rPr>
          <w:rFonts w:ascii="Times New Roman"/>
          <w:color w:val="FFFFFF"/>
          <w:sz w:val="24"/>
        </w:rPr>
      </w:pPr>
      <w:r>
        <w:rPr>
          <w:rFonts w:ascii="Times New Roman"/>
          <w:color w:val="000000"/>
          <w:sz w:val="24"/>
        </w:rPr>
        <w:t>Entraîne la libération de plusieurs médiateurs (interleukine, interféron Gamma,) responsables de la symptomatologie du choc staphylococcique.</w:t>
      </w:r>
    </w:p>
    <w:p w:rsidR="002C661A" w:rsidRDefault="002A727D">
      <w:pPr>
        <w:spacing w:after="0" w:line="360" w:lineRule="auto"/>
        <w:jc w:val="both"/>
        <w:rPr>
          <w:rFonts w:ascii="Times New Roman"/>
          <w:color w:val="FFFFFF"/>
          <w:sz w:val="24"/>
        </w:rPr>
      </w:pPr>
      <w:r>
        <w:rPr>
          <w:rFonts w:ascii="Times New Roman"/>
          <w:b/>
          <w:color w:val="000000"/>
          <w:sz w:val="24"/>
        </w:rPr>
        <w:t>* Les enzymes:</w:t>
      </w:r>
    </w:p>
    <w:p w:rsidR="002C661A" w:rsidRDefault="002A727D">
      <w:pPr>
        <w:spacing w:after="0" w:line="360" w:lineRule="auto"/>
        <w:jc w:val="both"/>
        <w:rPr>
          <w:rFonts w:ascii="Times New Roman"/>
          <w:color w:val="000000"/>
          <w:sz w:val="24"/>
        </w:rPr>
      </w:pPr>
      <w:r>
        <w:rPr>
          <w:rFonts w:ascii="Times New Roman"/>
          <w:color w:val="000000"/>
          <w:sz w:val="24"/>
        </w:rPr>
        <w:t>La coagulase,</w:t>
      </w:r>
    </w:p>
    <w:p w:rsidR="002C661A" w:rsidRDefault="002A727D">
      <w:pPr>
        <w:spacing w:after="0" w:line="360" w:lineRule="auto"/>
        <w:jc w:val="both"/>
        <w:rPr>
          <w:rFonts w:ascii="Times New Roman"/>
          <w:color w:val="000000"/>
          <w:sz w:val="24"/>
        </w:rPr>
      </w:pPr>
      <w:r>
        <w:rPr>
          <w:rFonts w:ascii="Times New Roman"/>
          <w:color w:val="000000"/>
          <w:sz w:val="24"/>
        </w:rPr>
        <w:t xml:space="preserve"> La fibrinolysine, </w:t>
      </w:r>
    </w:p>
    <w:p w:rsidR="002C661A" w:rsidRDefault="002A727D">
      <w:pPr>
        <w:spacing w:after="0" w:line="360" w:lineRule="auto"/>
        <w:jc w:val="both"/>
        <w:rPr>
          <w:rFonts w:ascii="Times New Roman"/>
          <w:color w:val="000000"/>
          <w:sz w:val="24"/>
        </w:rPr>
      </w:pPr>
      <w:r>
        <w:rPr>
          <w:rFonts w:ascii="Times New Roman"/>
          <w:color w:val="000000"/>
          <w:sz w:val="24"/>
        </w:rPr>
        <w:t xml:space="preserve">Les désoxyribonucléases, </w:t>
      </w:r>
    </w:p>
    <w:p w:rsidR="002C661A" w:rsidRDefault="002A727D">
      <w:pPr>
        <w:spacing w:after="0" w:line="360" w:lineRule="auto"/>
        <w:jc w:val="both"/>
        <w:rPr>
          <w:rFonts w:ascii="Times New Roman"/>
          <w:color w:val="000000"/>
          <w:sz w:val="24"/>
        </w:rPr>
      </w:pPr>
      <w:r>
        <w:rPr>
          <w:rFonts w:ascii="Times New Roman"/>
          <w:color w:val="000000"/>
          <w:sz w:val="24"/>
        </w:rPr>
        <w:t xml:space="preserve">La hyaluronidase, </w:t>
      </w:r>
    </w:p>
    <w:p w:rsidR="002C661A" w:rsidRDefault="002A727D">
      <w:pPr>
        <w:spacing w:after="0" w:line="360" w:lineRule="auto"/>
        <w:jc w:val="both"/>
        <w:rPr>
          <w:rFonts w:ascii="Times New Roman"/>
          <w:color w:val="000000"/>
          <w:sz w:val="24"/>
        </w:rPr>
      </w:pPr>
      <w:r>
        <w:rPr>
          <w:rFonts w:ascii="Times New Roman"/>
          <w:color w:val="000000"/>
          <w:sz w:val="24"/>
        </w:rPr>
        <w:t>La lipase.</w:t>
      </w:r>
    </w:p>
    <w:p w:rsidR="002C661A" w:rsidRDefault="002A727D">
      <w:pPr>
        <w:spacing w:after="0" w:line="360" w:lineRule="auto"/>
        <w:jc w:val="both"/>
        <w:rPr>
          <w:rFonts w:ascii="Times New Roman"/>
          <w:color w:val="000000"/>
          <w:sz w:val="24"/>
        </w:rPr>
      </w:pPr>
      <w:r>
        <w:rPr>
          <w:rFonts w:ascii="Times New Roman"/>
          <w:b/>
          <w:color w:val="000000"/>
          <w:sz w:val="24"/>
        </w:rPr>
        <w:t>Contamination humaine:</w:t>
      </w:r>
    </w:p>
    <w:p w:rsidR="002C661A" w:rsidRDefault="002A727D">
      <w:pPr>
        <w:spacing w:after="0" w:line="360" w:lineRule="auto"/>
        <w:jc w:val="both"/>
        <w:rPr>
          <w:rFonts w:ascii="Times New Roman"/>
          <w:color w:val="FFFFFF"/>
          <w:sz w:val="24"/>
        </w:rPr>
      </w:pPr>
      <w:r>
        <w:rPr>
          <w:rFonts w:ascii="Times New Roman"/>
          <w:color w:val="000000"/>
          <w:sz w:val="24"/>
        </w:rPr>
        <w:t>La contamination humaine peut survenir de germes ou de toxine préformée (voie alimentaire ou hydrique) ou par dispersion d’aérosols, le manque d’hygiène du personnel peut mener à la contamination en cours d’élaboration, la cuisson élimine le germe, mais pas la toxine, qui a une action pas sur les entérocytes mais au niveau du système immunitaire, elle agit comme super-antigène au niveau des cellules immunitaire du tube digestif.</w:t>
      </w:r>
    </w:p>
    <w:p w:rsidR="002C661A" w:rsidRDefault="002A727D">
      <w:pPr>
        <w:spacing w:after="0" w:line="360" w:lineRule="auto"/>
        <w:jc w:val="both"/>
        <w:rPr>
          <w:rFonts w:ascii="Times New Roman"/>
          <w:color w:val="FFFFFF"/>
          <w:sz w:val="24"/>
        </w:rPr>
      </w:pPr>
      <w:r>
        <w:rPr>
          <w:rFonts w:ascii="Times New Roman"/>
          <w:b/>
          <w:color w:val="000000"/>
          <w:sz w:val="24"/>
        </w:rPr>
        <w:lastRenderedPageBreak/>
        <w:t xml:space="preserve">  - nature des aliments contaminés:</w:t>
      </w:r>
    </w:p>
    <w:p w:rsidR="002C661A" w:rsidRDefault="002A727D">
      <w:pPr>
        <w:spacing w:after="0" w:line="360" w:lineRule="auto"/>
        <w:jc w:val="both"/>
        <w:rPr>
          <w:rFonts w:ascii="Times New Roman"/>
          <w:color w:val="FFFFFF"/>
          <w:sz w:val="24"/>
        </w:rPr>
      </w:pPr>
      <w:r>
        <w:rPr>
          <w:rFonts w:ascii="Times New Roman"/>
          <w:color w:val="000000"/>
          <w:sz w:val="24"/>
        </w:rPr>
        <w:t>Sont des aliments contaminés après la cuisson: viande , poisson, crèmes glacées et pâtisseries, ou des aliments à faibles Aw, salaisons, laits concentrés, laits en poudre.</w:t>
      </w:r>
    </w:p>
    <w:p w:rsidR="002C661A" w:rsidRDefault="002A727D">
      <w:pPr>
        <w:spacing w:after="0" w:line="360" w:lineRule="auto"/>
        <w:jc w:val="both"/>
        <w:rPr>
          <w:rFonts w:ascii="Times New Roman"/>
          <w:color w:val="FFFFFF"/>
          <w:sz w:val="24"/>
        </w:rPr>
      </w:pPr>
      <w:r>
        <w:rPr>
          <w:rFonts w:ascii="Times New Roman"/>
          <w:color w:val="000000"/>
          <w:sz w:val="24"/>
        </w:rPr>
        <w:t xml:space="preserve">L’aliment devient toxique qu’après de multiplication des staphylocoques (10 </w:t>
      </w:r>
      <w:r>
        <w:rPr>
          <w:rFonts w:ascii="Times New Roman"/>
          <w:color w:val="000000"/>
          <w:sz w:val="24"/>
          <w:vertAlign w:val="superscript"/>
        </w:rPr>
        <w:t>6</w:t>
      </w:r>
      <w:r>
        <w:rPr>
          <w:rFonts w:ascii="Times New Roman"/>
          <w:color w:val="000000"/>
          <w:sz w:val="24"/>
        </w:rPr>
        <w:t xml:space="preserve">à 10 </w:t>
      </w:r>
      <w:r>
        <w:rPr>
          <w:rFonts w:ascii="Times New Roman"/>
          <w:color w:val="000000"/>
          <w:sz w:val="24"/>
          <w:vertAlign w:val="superscript"/>
        </w:rPr>
        <w:t xml:space="preserve">9 </w:t>
      </w:r>
      <w:r>
        <w:rPr>
          <w:rFonts w:ascii="Times New Roman"/>
          <w:color w:val="000000"/>
          <w:sz w:val="24"/>
        </w:rPr>
        <w:t>/g) ce qui suppose le maintien de l’aliment de 3 à 4 heures à la température ambiante.</w:t>
      </w:r>
    </w:p>
    <w:p w:rsidR="002C661A" w:rsidRDefault="002A727D">
      <w:pPr>
        <w:spacing w:after="0" w:line="360" w:lineRule="auto"/>
        <w:ind w:hanging="540"/>
        <w:jc w:val="both"/>
        <w:rPr>
          <w:rFonts w:ascii="Times New Roman"/>
          <w:color w:val="FFFFFF"/>
          <w:sz w:val="24"/>
        </w:rPr>
      </w:pPr>
      <w:r>
        <w:rPr>
          <w:rFonts w:ascii="Times New Roman"/>
          <w:b/>
          <w:color w:val="000000"/>
          <w:sz w:val="24"/>
        </w:rPr>
        <w:t xml:space="preserve">       - symptomatologie de l’intoxination staphylococcique:</w:t>
      </w:r>
    </w:p>
    <w:p w:rsidR="002C661A" w:rsidRDefault="002A727D">
      <w:pPr>
        <w:spacing w:after="0" w:line="360" w:lineRule="auto"/>
        <w:ind w:hanging="540"/>
        <w:jc w:val="both"/>
        <w:rPr>
          <w:rFonts w:ascii="Times New Roman"/>
          <w:color w:val="000000"/>
          <w:sz w:val="24"/>
        </w:rPr>
      </w:pPr>
      <w:r>
        <w:rPr>
          <w:rFonts w:ascii="Times New Roman"/>
          <w:color w:val="000000"/>
          <w:sz w:val="24"/>
        </w:rPr>
        <w:t xml:space="preserve">      L’incubation est courte, deus à quatre heures après l'ingestion de l’aliment contaminé, apparaisse d’une façon brusque et violente, des céphalées, des douleurs abdominales, des nausées, des vomissements violents, incoercibles et répétés, pas de fièvre, la guérison est dans les 24heures bien que persiste pendant quelques jours une certaine fatigue.</w:t>
      </w:r>
    </w:p>
    <w:p w:rsidR="002C661A" w:rsidRDefault="002C661A">
      <w:pPr>
        <w:spacing w:after="0" w:line="360" w:lineRule="auto"/>
        <w:ind w:hanging="540"/>
        <w:jc w:val="both"/>
        <w:rPr>
          <w:rFonts w:ascii="Times New Roman"/>
          <w:color w:val="000000"/>
          <w:sz w:val="24"/>
        </w:rPr>
      </w:pPr>
    </w:p>
    <w:p w:rsidR="002C661A" w:rsidRDefault="002A727D">
      <w:pPr>
        <w:spacing w:after="0" w:line="360" w:lineRule="auto"/>
        <w:ind w:hanging="540"/>
        <w:jc w:val="both"/>
        <w:rPr>
          <w:rFonts w:ascii="Times New Roman"/>
          <w:color w:val="000000"/>
          <w:sz w:val="24"/>
        </w:rPr>
      </w:pPr>
      <w:r>
        <w:rPr>
          <w:rFonts w:ascii="Times New Roman"/>
          <w:b/>
          <w:color w:val="000000"/>
          <w:sz w:val="24"/>
        </w:rPr>
        <w:t>Diagnostic biologique</w:t>
      </w:r>
    </w:p>
    <w:p w:rsidR="002C661A" w:rsidRDefault="002A727D">
      <w:pPr>
        <w:spacing w:after="0" w:line="360" w:lineRule="auto"/>
        <w:ind w:hanging="540"/>
        <w:jc w:val="both"/>
        <w:rPr>
          <w:rFonts w:ascii="Times New Roman"/>
          <w:color w:val="000000"/>
          <w:sz w:val="24"/>
        </w:rPr>
      </w:pPr>
      <w:r>
        <w:rPr>
          <w:rFonts w:ascii="Times New Roman"/>
          <w:b/>
          <w:color w:val="000000"/>
          <w:sz w:val="24"/>
        </w:rPr>
        <w:t xml:space="preserve">    Examen direct</w:t>
      </w:r>
    </w:p>
    <w:tbl>
      <w:tblPr>
        <w:tblW w:w="1000" w:type="pct"/>
        <w:tblCellSpacing w:w="15" w:type="dxa"/>
        <w:tblLook w:val="04A0"/>
      </w:tblPr>
      <w:tblGrid>
        <w:gridCol w:w="267"/>
        <w:gridCol w:w="1669"/>
      </w:tblGrid>
      <w:tr w:rsidR="002C661A">
        <w:trPr>
          <w:tblCellSpacing w:w="15" w:type="dxa"/>
        </w:trPr>
        <w:tc>
          <w:tcPr>
            <w:tcW w:w="300" w:type="pct"/>
            <w:tcBorders>
              <w:top w:val="nil"/>
              <w:left w:val="nil"/>
              <w:bottom w:val="nil"/>
              <w:right w:val="nil"/>
            </w:tcBorders>
            <w:vAlign w:val="center"/>
          </w:tcPr>
          <w:p w:rsidR="002C661A" w:rsidRDefault="002C661A">
            <w:pPr>
              <w:spacing w:after="0" w:line="360" w:lineRule="auto"/>
              <w:ind w:hanging="540"/>
              <w:jc w:val="both"/>
              <w:rPr>
                <w:rFonts w:ascii="Times New Roman"/>
                <w:color w:val="000000"/>
                <w:sz w:val="24"/>
              </w:rPr>
            </w:pPr>
          </w:p>
        </w:tc>
        <w:tc>
          <w:tcPr>
            <w:tcW w:w="0" w:type="auto"/>
            <w:tcBorders>
              <w:top w:val="nil"/>
              <w:left w:val="nil"/>
              <w:bottom w:val="nil"/>
              <w:right w:val="nil"/>
            </w:tcBorders>
            <w:vAlign w:val="center"/>
          </w:tcPr>
          <w:p w:rsidR="002C661A" w:rsidRDefault="002C661A" w:rsidP="00A2491A">
            <w:pPr>
              <w:spacing w:after="0" w:line="360" w:lineRule="auto"/>
              <w:jc w:val="both"/>
              <w:rPr>
                <w:rFonts w:ascii="Times New Roman"/>
                <w:color w:val="000000"/>
                <w:sz w:val="24"/>
              </w:rPr>
            </w:pPr>
          </w:p>
        </w:tc>
      </w:tr>
    </w:tbl>
    <w:p w:rsidR="002C661A" w:rsidRDefault="002A727D">
      <w:pPr>
        <w:spacing w:after="0" w:line="360" w:lineRule="auto"/>
        <w:ind w:hanging="540"/>
        <w:jc w:val="both"/>
        <w:rPr>
          <w:rFonts w:ascii="Times New Roman"/>
          <w:color w:val="000000"/>
          <w:sz w:val="24"/>
        </w:rPr>
      </w:pPr>
      <w:r>
        <w:rPr>
          <w:rFonts w:ascii="Times New Roman"/>
          <w:color w:val="000000"/>
          <w:sz w:val="24"/>
        </w:rPr>
        <w:t>L’examen direct du prélèvement s’il est possible donne une orientation diagnostique importante. En effet, l’association de cocci Gram positif et de polynucléaires dans un prélèvement évoque fortement une infection à staphylocoque. Cependant, le diagnostic définitif du genre et de l’espèce ne sera obtenu qu’après la culture et l’identification des souches.</w:t>
      </w:r>
    </w:p>
    <w:p w:rsidR="002C661A" w:rsidRDefault="002C661A" w:rsidP="00A2491A">
      <w:pPr>
        <w:spacing w:after="0" w:line="360" w:lineRule="auto"/>
        <w:jc w:val="both"/>
        <w:rPr>
          <w:rFonts w:ascii="Times New Roman"/>
          <w:color w:val="000000"/>
          <w:sz w:val="24"/>
        </w:rPr>
      </w:pPr>
    </w:p>
    <w:p w:rsidR="00430BC0" w:rsidRDefault="002A727D" w:rsidP="00430BC0">
      <w:pPr>
        <w:pBdr>
          <w:top w:val="none" w:sz="0" w:space="0" w:color="auto"/>
          <w:left w:val="none" w:sz="0" w:space="0" w:color="auto"/>
          <w:bottom w:val="single" w:sz="4" w:space="0" w:color="auto"/>
          <w:right w:val="none" w:sz="0" w:space="0" w:color="auto"/>
          <w:between w:val="none" w:sz="0" w:space="0" w:color="auto"/>
          <w:bar w:val="none" w:sz="0" w:color="auto"/>
        </w:pBdr>
        <w:spacing w:after="0" w:line="240" w:lineRule="auto"/>
        <w:rPr>
          <w:rFonts w:asciiTheme="majorBidi" w:hAnsiTheme="majorBidi" w:cstheme="majorBidi"/>
          <w:b/>
          <w:sz w:val="24"/>
          <w:szCs w:val="24"/>
        </w:rPr>
      </w:pPr>
      <w:r w:rsidRPr="00430BC0">
        <w:rPr>
          <w:rFonts w:asciiTheme="majorBidi" w:hAnsiTheme="majorBidi" w:cstheme="majorBidi"/>
          <w:b/>
          <w:sz w:val="24"/>
          <w:szCs w:val="24"/>
        </w:rPr>
        <w:t>Diagnostic de genre et d’espèce</w:t>
      </w:r>
      <w:r w:rsidRPr="00430BC0">
        <w:rPr>
          <w:rFonts w:asciiTheme="majorBidi" w:hAnsiTheme="majorBidi" w:cstheme="majorBidi"/>
          <w:sz w:val="24"/>
          <w:szCs w:val="24"/>
        </w:rPr>
        <w:br/>
      </w:r>
      <w:r w:rsidRPr="00430BC0">
        <w:rPr>
          <w:rFonts w:asciiTheme="majorBidi" w:hAnsiTheme="majorBidi" w:cstheme="majorBidi"/>
          <w:sz w:val="24"/>
          <w:szCs w:val="24"/>
        </w:rPr>
        <w:br/>
      </w:r>
      <w:r w:rsidRPr="00430BC0">
        <w:rPr>
          <w:rFonts w:asciiTheme="majorBidi" w:hAnsiTheme="majorBidi" w:cstheme="majorBidi"/>
          <w:b/>
          <w:sz w:val="24"/>
          <w:szCs w:val="24"/>
        </w:rPr>
        <w:t>Catalase</w:t>
      </w:r>
      <w:r w:rsidRPr="00430BC0">
        <w:rPr>
          <w:rFonts w:asciiTheme="majorBidi" w:hAnsiTheme="majorBidi" w:cstheme="majorBidi"/>
          <w:sz w:val="24"/>
          <w:szCs w:val="24"/>
        </w:rPr>
        <w:br/>
        <w:t>La catalase est un caractère quasi-constant chez les staphylocoques. La mise en évidence de la catalase permet de distinguer parmi les cocci à Gram positif les staphylocoques et les streptocoques.</w:t>
      </w:r>
      <w:r w:rsidRPr="00430BC0">
        <w:rPr>
          <w:rFonts w:asciiTheme="majorBidi" w:hAnsiTheme="majorBidi" w:cstheme="majorBidi"/>
          <w:sz w:val="24"/>
          <w:szCs w:val="24"/>
        </w:rPr>
        <w:br/>
      </w:r>
      <w:r w:rsidRPr="00430BC0">
        <w:rPr>
          <w:rFonts w:asciiTheme="majorBidi" w:hAnsiTheme="majorBidi" w:cstheme="majorBidi"/>
          <w:sz w:val="24"/>
          <w:szCs w:val="24"/>
        </w:rPr>
        <w:br/>
      </w:r>
      <w:r w:rsidRPr="00430BC0">
        <w:rPr>
          <w:rFonts w:asciiTheme="majorBidi" w:hAnsiTheme="majorBidi" w:cstheme="majorBidi"/>
          <w:b/>
          <w:sz w:val="24"/>
          <w:szCs w:val="24"/>
        </w:rPr>
        <w:t>Coagulase</w:t>
      </w:r>
      <w:r w:rsidR="00430BC0" w:rsidRPr="00430BC0">
        <w:rPr>
          <w:rFonts w:asciiTheme="majorBidi" w:hAnsiTheme="majorBidi" w:cstheme="majorBidi"/>
          <w:b/>
          <w:sz w:val="24"/>
          <w:szCs w:val="24"/>
        </w:rPr>
        <w:t xml:space="preserve"> </w:t>
      </w:r>
    </w:p>
    <w:p w:rsidR="00430BC0" w:rsidRPr="00430BC0" w:rsidRDefault="00430BC0" w:rsidP="00430BC0">
      <w:pPr>
        <w:pBdr>
          <w:top w:val="none" w:sz="0" w:space="0" w:color="auto"/>
          <w:left w:val="none" w:sz="0" w:space="0" w:color="auto"/>
          <w:bottom w:val="single" w:sz="4" w:space="0" w:color="auto"/>
          <w:right w:val="none" w:sz="0" w:space="0" w:color="auto"/>
          <w:between w:val="none" w:sz="0" w:space="0" w:color="auto"/>
          <w:bar w:val="none" w:sz="0" w:color="auto"/>
        </w:pBdr>
        <w:spacing w:after="0" w:line="240" w:lineRule="auto"/>
        <w:rPr>
          <w:rFonts w:asciiTheme="majorBidi" w:hAnsiTheme="majorBidi" w:cstheme="majorBidi"/>
          <w:b/>
          <w:sz w:val="24"/>
          <w:szCs w:val="24"/>
        </w:rPr>
      </w:pPr>
    </w:p>
    <w:p w:rsidR="00430BC0" w:rsidRDefault="00430BC0" w:rsidP="00430BC0">
      <w:pPr>
        <w:pBdr>
          <w:top w:val="none" w:sz="0" w:space="0" w:color="auto"/>
          <w:left w:val="none" w:sz="0" w:space="0" w:color="auto"/>
          <w:bottom w:val="single" w:sz="4" w:space="0" w:color="auto"/>
          <w:right w:val="none" w:sz="0" w:space="0" w:color="auto"/>
          <w:between w:val="none" w:sz="0" w:space="0" w:color="auto"/>
          <w:bar w:val="none" w:sz="0" w:color="auto"/>
        </w:pBdr>
        <w:spacing w:after="0" w:line="240" w:lineRule="auto"/>
        <w:rPr>
          <w:rFonts w:ascii="Times New Roman"/>
          <w:sz w:val="24"/>
        </w:rPr>
      </w:pPr>
      <w:r>
        <w:rPr>
          <w:rFonts w:ascii="Times New Roman"/>
          <w:sz w:val="24"/>
        </w:rPr>
        <w:t xml:space="preserve">Le test mettant en évidence l’aptitude des bactéries à coaguler le plasma est le principal test caractérisant </w:t>
      </w:r>
      <w:r>
        <w:rPr>
          <w:rFonts w:ascii="Times New Roman"/>
          <w:i/>
          <w:sz w:val="24"/>
        </w:rPr>
        <w:t>S. aureus</w:t>
      </w:r>
      <w:r>
        <w:rPr>
          <w:rFonts w:ascii="Times New Roman"/>
          <w:sz w:val="24"/>
        </w:rPr>
        <w:t xml:space="preserve">. Le test de détection consiste à incuber pendant 4 heures à 37°C un mélange de plasma de lapin et de la souche à tester. L’apparition d’un caillot est observée en inclinant le tube à 90°C. Le test de la coagulase permet l’identification de 99% des souches de </w:t>
      </w:r>
      <w:r>
        <w:rPr>
          <w:rFonts w:ascii="Times New Roman"/>
          <w:i/>
          <w:sz w:val="24"/>
        </w:rPr>
        <w:t>S. aureus</w:t>
      </w:r>
      <w:r>
        <w:rPr>
          <w:rFonts w:ascii="Times New Roman"/>
          <w:sz w:val="24"/>
        </w:rPr>
        <w:t xml:space="preserve"> mais certaines souches ne produisent pas de coagulase. L’identification de l’espèce est dans ce cas réalisée par </w:t>
      </w:r>
    </w:p>
    <w:p w:rsidR="002C661A" w:rsidRDefault="002C661A" w:rsidP="00EF170C">
      <w:pPr>
        <w:pStyle w:val="Sansinterligne"/>
        <w:rPr>
          <w:b/>
          <w:sz w:val="24"/>
          <w:szCs w:val="24"/>
        </w:rPr>
      </w:pPr>
    </w:p>
    <w:p w:rsidR="00430BC0" w:rsidRDefault="00430BC0" w:rsidP="00EF170C">
      <w:pPr>
        <w:pStyle w:val="Sansinterligne"/>
        <w:rPr>
          <w:b/>
          <w:sz w:val="24"/>
          <w:szCs w:val="24"/>
        </w:rPr>
      </w:pPr>
    </w:p>
    <w:p w:rsidR="00EF170C" w:rsidRPr="00EF170C" w:rsidRDefault="00EF170C" w:rsidP="00EF170C">
      <w:pPr>
        <w:pStyle w:val="Sansinterligne"/>
        <w:rPr>
          <w:sz w:val="24"/>
          <w:szCs w:val="24"/>
        </w:rPr>
      </w:pPr>
    </w:p>
    <w:p w:rsidR="002C661A" w:rsidRDefault="002A727D">
      <w:pPr>
        <w:spacing w:after="0" w:line="360" w:lineRule="auto"/>
        <w:ind w:hanging="540"/>
        <w:jc w:val="both"/>
        <w:rPr>
          <w:rFonts w:ascii="Times New Roman"/>
          <w:b/>
          <w:color w:val="000000"/>
          <w:sz w:val="24"/>
        </w:rPr>
      </w:pPr>
      <w:r>
        <w:rPr>
          <w:rFonts w:ascii="Times New Roman"/>
          <w:b/>
          <w:color w:val="000000"/>
          <w:sz w:val="24"/>
        </w:rPr>
        <w:t xml:space="preserve">       Tests d’agglutination</w:t>
      </w:r>
    </w:p>
    <w:p w:rsidR="002C661A" w:rsidRDefault="002C661A">
      <w:pPr>
        <w:spacing w:after="0" w:line="360" w:lineRule="auto"/>
        <w:ind w:hanging="540"/>
        <w:jc w:val="both"/>
        <w:rPr>
          <w:rFonts w:ascii="Times New Roman"/>
          <w:color w:val="000000"/>
          <w:sz w:val="24"/>
        </w:rPr>
      </w:pPr>
    </w:p>
    <w:p w:rsidR="002C661A" w:rsidRDefault="002A727D">
      <w:pPr>
        <w:spacing w:after="0" w:line="360" w:lineRule="auto"/>
        <w:ind w:hanging="540"/>
        <w:jc w:val="both"/>
        <w:rPr>
          <w:rFonts w:ascii="Times New Roman"/>
          <w:color w:val="000000"/>
          <w:sz w:val="24"/>
        </w:rPr>
      </w:pPr>
      <w:r>
        <w:rPr>
          <w:rFonts w:ascii="Times New Roman"/>
          <w:color w:val="000000"/>
          <w:sz w:val="24"/>
        </w:rPr>
        <w:t xml:space="preserve">         Plusieurs tests d’agglutination détectant un ou plusieurs antigènes ou récepteurs de surface (récepteur pour le fibrinogène, protéineA, antigènes capsulaires) sont commercialisés.</w:t>
      </w:r>
    </w:p>
    <w:p w:rsidR="002C661A" w:rsidRDefault="002A727D">
      <w:pPr>
        <w:spacing w:after="0" w:line="360" w:lineRule="auto"/>
        <w:ind w:hanging="540"/>
        <w:jc w:val="both"/>
        <w:rPr>
          <w:rFonts w:ascii="Times New Roman"/>
          <w:color w:val="000000"/>
          <w:sz w:val="24"/>
        </w:rPr>
      </w:pPr>
      <w:r>
        <w:rPr>
          <w:rFonts w:ascii="Times New Roman"/>
          <w:color w:val="000000"/>
          <w:sz w:val="24"/>
        </w:rPr>
        <w:t xml:space="preserve">        En pratique, il est recommandé d’utiliser deux tests pour l’identification de S. aureus : la     détection de la coagulase et un test d’agglutination. Toute discordance entre les deux devra conduire à une identification biochimique.</w:t>
      </w:r>
    </w:p>
    <w:p w:rsidR="002C661A" w:rsidRDefault="002C661A">
      <w:pPr>
        <w:spacing w:after="0" w:line="360" w:lineRule="auto"/>
        <w:ind w:hanging="540"/>
        <w:jc w:val="both"/>
        <w:rPr>
          <w:rFonts w:ascii="Times New Roman"/>
          <w:color w:val="000000"/>
          <w:sz w:val="24"/>
        </w:rPr>
      </w:pPr>
    </w:p>
    <w:p w:rsidR="002C661A" w:rsidRDefault="002A727D">
      <w:pPr>
        <w:spacing w:after="0" w:line="360" w:lineRule="auto"/>
        <w:ind w:hanging="540"/>
        <w:jc w:val="both"/>
        <w:rPr>
          <w:rFonts w:ascii="Times New Roman"/>
          <w:color w:val="000000"/>
          <w:sz w:val="24"/>
        </w:rPr>
      </w:pPr>
      <w:r>
        <w:rPr>
          <w:rFonts w:ascii="Times New Roman"/>
          <w:b/>
          <w:color w:val="000000"/>
          <w:sz w:val="24"/>
        </w:rPr>
        <w:t xml:space="preserve">     Sensibilité aux antibiotiques</w:t>
      </w:r>
    </w:p>
    <w:tbl>
      <w:tblPr>
        <w:tblW w:w="1000" w:type="pct"/>
        <w:tblCellSpacing w:w="15" w:type="dxa"/>
        <w:tblLook w:val="04A0"/>
      </w:tblPr>
      <w:tblGrid>
        <w:gridCol w:w="267"/>
        <w:gridCol w:w="1669"/>
      </w:tblGrid>
      <w:tr w:rsidR="002C661A">
        <w:trPr>
          <w:tblCellSpacing w:w="15" w:type="dxa"/>
        </w:trPr>
        <w:tc>
          <w:tcPr>
            <w:tcW w:w="300" w:type="pct"/>
            <w:tcBorders>
              <w:top w:val="nil"/>
              <w:left w:val="nil"/>
              <w:bottom w:val="nil"/>
              <w:right w:val="nil"/>
            </w:tcBorders>
            <w:vAlign w:val="center"/>
          </w:tcPr>
          <w:p w:rsidR="002C661A" w:rsidRDefault="002C661A">
            <w:pPr>
              <w:spacing w:after="0" w:line="360" w:lineRule="auto"/>
              <w:ind w:hanging="540"/>
              <w:jc w:val="both"/>
              <w:rPr>
                <w:rFonts w:ascii="Times New Roman"/>
                <w:color w:val="000000"/>
                <w:sz w:val="24"/>
              </w:rPr>
            </w:pPr>
          </w:p>
        </w:tc>
        <w:tc>
          <w:tcPr>
            <w:tcW w:w="0" w:type="auto"/>
            <w:tcBorders>
              <w:top w:val="nil"/>
              <w:left w:val="nil"/>
              <w:bottom w:val="nil"/>
              <w:right w:val="nil"/>
            </w:tcBorders>
            <w:vAlign w:val="center"/>
          </w:tcPr>
          <w:p w:rsidR="002C661A" w:rsidRDefault="002C661A">
            <w:pPr>
              <w:spacing w:after="0" w:line="360" w:lineRule="auto"/>
              <w:ind w:hanging="540"/>
              <w:jc w:val="both"/>
              <w:rPr>
                <w:rFonts w:ascii="Times New Roman"/>
                <w:color w:val="000000"/>
                <w:sz w:val="24"/>
              </w:rPr>
            </w:pPr>
          </w:p>
        </w:tc>
      </w:tr>
    </w:tbl>
    <w:p w:rsidR="002C661A" w:rsidRDefault="002A727D">
      <w:pPr>
        <w:spacing w:after="0" w:line="360" w:lineRule="auto"/>
        <w:ind w:hanging="540"/>
        <w:jc w:val="both"/>
        <w:rPr>
          <w:rFonts w:ascii="Times New Roman"/>
          <w:color w:val="000000"/>
          <w:sz w:val="24"/>
        </w:rPr>
      </w:pPr>
      <w:r>
        <w:rPr>
          <w:rFonts w:ascii="Times New Roman"/>
          <w:color w:val="000000"/>
          <w:sz w:val="24"/>
        </w:rPr>
        <w:t xml:space="preserve">      Un antibiogramme sera réalisé sur toutes les souches considérées comme pathogènes étant donnée la fréquence des souches multirésistantes, notamment en milieu hospitalier. Le choix de l’antibiothérapie sera guidé par l’antibiogramme et le contexte clinique.</w:t>
      </w:r>
    </w:p>
    <w:p w:rsidR="002C661A" w:rsidRDefault="002C661A">
      <w:pPr>
        <w:spacing w:after="0" w:line="360" w:lineRule="auto"/>
        <w:ind w:hanging="540"/>
        <w:jc w:val="both"/>
        <w:rPr>
          <w:rFonts w:ascii="Times New Roman"/>
          <w:color w:val="000000"/>
          <w:sz w:val="24"/>
        </w:rPr>
      </w:pPr>
    </w:p>
    <w:p w:rsidR="002C661A" w:rsidRDefault="002C661A">
      <w:pPr>
        <w:spacing w:after="0" w:line="360" w:lineRule="auto"/>
        <w:ind w:hanging="540"/>
        <w:jc w:val="center"/>
        <w:rPr>
          <w:rFonts w:ascii="Times New Roman"/>
          <w:color w:val="000000"/>
          <w:sz w:val="24"/>
        </w:rPr>
      </w:pPr>
    </w:p>
    <w:p w:rsidR="002C661A" w:rsidRDefault="002A727D">
      <w:pPr>
        <w:spacing w:after="0" w:line="360" w:lineRule="auto"/>
        <w:ind w:hanging="540"/>
        <w:jc w:val="both"/>
        <w:rPr>
          <w:rFonts w:ascii="Times New Roman"/>
          <w:color w:val="000000"/>
          <w:sz w:val="24"/>
        </w:rPr>
      </w:pPr>
      <w:r>
        <w:rPr>
          <w:rFonts w:ascii="Times New Roman"/>
          <w:color w:val="000000"/>
          <w:sz w:val="24"/>
        </w:rPr>
        <w:t xml:space="preserve">     Actuellement, environ 95% des souches   de </w:t>
      </w:r>
      <w:r>
        <w:rPr>
          <w:rFonts w:ascii="Times New Roman"/>
          <w:i/>
          <w:color w:val="000000"/>
          <w:sz w:val="24"/>
        </w:rPr>
        <w:t>S aureus</w:t>
      </w:r>
      <w:r>
        <w:rPr>
          <w:rFonts w:ascii="Times New Roman"/>
          <w:color w:val="000000"/>
          <w:sz w:val="24"/>
        </w:rPr>
        <w:t xml:space="preserve"> sont résistantes à la pénicilline G, aux aminopénicillines, aux carboxypénicillines et aux uréidopénicillines.</w:t>
      </w:r>
      <w:r>
        <w:rPr>
          <w:rFonts w:ascii="Times New Roman"/>
          <w:color w:val="000000"/>
          <w:sz w:val="24"/>
        </w:rPr>
        <w:br/>
        <w:t xml:space="preserve">Les souches communautaires sont, en général, sensibles à la pénicilline M (méticilline, oxacilline) qui reste l’antibiotique de choix. Elles sont le plus souvent sensibles aux macrolides, aminoglycosides, fluoroquinolones et synergistines. </w:t>
      </w:r>
    </w:p>
    <w:p w:rsidR="002C661A" w:rsidRDefault="002C661A">
      <w:pPr>
        <w:spacing w:after="0" w:line="360" w:lineRule="auto"/>
        <w:ind w:hanging="540"/>
        <w:jc w:val="both"/>
        <w:rPr>
          <w:rFonts w:ascii="Times New Roman"/>
          <w:color w:val="000000"/>
          <w:sz w:val="24"/>
        </w:rPr>
      </w:pPr>
    </w:p>
    <w:p w:rsidR="00A2491A" w:rsidRDefault="00A2491A">
      <w:pPr>
        <w:spacing w:after="0" w:line="360" w:lineRule="auto"/>
        <w:ind w:hanging="540"/>
        <w:jc w:val="both"/>
        <w:rPr>
          <w:rFonts w:ascii="Times New Roman"/>
          <w:color w:val="000000"/>
          <w:sz w:val="24"/>
        </w:rPr>
      </w:pPr>
    </w:p>
    <w:p w:rsidR="00A2491A" w:rsidRDefault="00A2491A">
      <w:pPr>
        <w:spacing w:after="0" w:line="360" w:lineRule="auto"/>
        <w:ind w:hanging="540"/>
        <w:jc w:val="both"/>
        <w:rPr>
          <w:rFonts w:ascii="Times New Roman"/>
          <w:color w:val="000000"/>
          <w:sz w:val="24"/>
        </w:rPr>
      </w:pPr>
    </w:p>
    <w:p w:rsidR="00A2491A" w:rsidRDefault="00A2491A">
      <w:pPr>
        <w:spacing w:after="0" w:line="360" w:lineRule="auto"/>
        <w:ind w:hanging="540"/>
        <w:jc w:val="both"/>
        <w:rPr>
          <w:rFonts w:ascii="Times New Roman"/>
          <w:color w:val="000000"/>
          <w:sz w:val="24"/>
        </w:rPr>
      </w:pPr>
    </w:p>
    <w:p w:rsidR="007252B7" w:rsidRDefault="007252B7">
      <w:pPr>
        <w:spacing w:after="0" w:line="360" w:lineRule="auto"/>
        <w:ind w:hanging="540"/>
        <w:jc w:val="both"/>
        <w:rPr>
          <w:rFonts w:ascii="Times New Roman"/>
          <w:color w:val="000000"/>
          <w:sz w:val="24"/>
        </w:rPr>
      </w:pPr>
    </w:p>
    <w:p w:rsidR="007252B7" w:rsidRDefault="007252B7">
      <w:pPr>
        <w:spacing w:after="0" w:line="360" w:lineRule="auto"/>
        <w:ind w:hanging="540"/>
        <w:jc w:val="both"/>
        <w:rPr>
          <w:rFonts w:ascii="Times New Roman"/>
          <w:color w:val="000000"/>
          <w:sz w:val="24"/>
        </w:rPr>
      </w:pPr>
    </w:p>
    <w:p w:rsidR="007252B7" w:rsidRDefault="007252B7">
      <w:pPr>
        <w:spacing w:after="0" w:line="360" w:lineRule="auto"/>
        <w:ind w:hanging="540"/>
        <w:jc w:val="both"/>
        <w:rPr>
          <w:rFonts w:ascii="Times New Roman"/>
          <w:color w:val="000000"/>
          <w:sz w:val="24"/>
        </w:rPr>
      </w:pPr>
    </w:p>
    <w:p w:rsidR="007252B7" w:rsidRDefault="007252B7">
      <w:pPr>
        <w:spacing w:after="0" w:line="360" w:lineRule="auto"/>
        <w:ind w:hanging="540"/>
        <w:jc w:val="both"/>
        <w:rPr>
          <w:rFonts w:ascii="Times New Roman"/>
          <w:color w:val="000000"/>
          <w:sz w:val="24"/>
        </w:rPr>
      </w:pPr>
    </w:p>
    <w:p w:rsidR="007252B7" w:rsidRDefault="007252B7">
      <w:pPr>
        <w:spacing w:after="0" w:line="360" w:lineRule="auto"/>
        <w:ind w:hanging="540"/>
        <w:jc w:val="both"/>
        <w:rPr>
          <w:rFonts w:ascii="Times New Roman"/>
          <w:color w:val="000000"/>
          <w:sz w:val="24"/>
        </w:rPr>
      </w:pPr>
    </w:p>
    <w:p w:rsidR="007252B7" w:rsidRDefault="007252B7">
      <w:pPr>
        <w:spacing w:after="0" w:line="360" w:lineRule="auto"/>
        <w:ind w:hanging="540"/>
        <w:jc w:val="both"/>
        <w:rPr>
          <w:rFonts w:ascii="Times New Roman"/>
          <w:color w:val="000000"/>
          <w:sz w:val="24"/>
        </w:rPr>
      </w:pPr>
    </w:p>
    <w:p w:rsidR="007252B7" w:rsidRDefault="007252B7">
      <w:pPr>
        <w:spacing w:after="0" w:line="360" w:lineRule="auto"/>
        <w:ind w:hanging="540"/>
        <w:jc w:val="both"/>
        <w:rPr>
          <w:rFonts w:ascii="Times New Roman"/>
          <w:color w:val="000000"/>
          <w:sz w:val="24"/>
        </w:rPr>
      </w:pPr>
    </w:p>
    <w:p w:rsidR="00A2491A" w:rsidRDefault="00A2491A">
      <w:pPr>
        <w:spacing w:after="0" w:line="360" w:lineRule="auto"/>
        <w:ind w:hanging="540"/>
        <w:jc w:val="both"/>
        <w:rPr>
          <w:rFonts w:ascii="Times New Roman"/>
          <w:color w:val="000000"/>
          <w:sz w:val="24"/>
        </w:rPr>
      </w:pPr>
    </w:p>
    <w:p w:rsidR="002C661A" w:rsidRDefault="002A727D">
      <w:pPr>
        <w:spacing w:after="0" w:line="200" w:lineRule="atLeast"/>
        <w:ind w:hanging="540"/>
        <w:jc w:val="center"/>
        <w:rPr>
          <w:rFonts w:ascii="Times New Roman"/>
          <w:color w:val="FFFFFF"/>
          <w:sz w:val="28"/>
        </w:rPr>
      </w:pPr>
      <w:r>
        <w:rPr>
          <w:rFonts w:ascii="Times New Roman"/>
          <w:b/>
          <w:sz w:val="28"/>
        </w:rPr>
        <w:t xml:space="preserve">Les streptocoques </w:t>
      </w:r>
    </w:p>
    <w:p w:rsidR="002C661A" w:rsidRDefault="002A727D">
      <w:pPr>
        <w:spacing w:after="0" w:line="200" w:lineRule="atLeast"/>
        <w:ind w:hanging="540"/>
        <w:jc w:val="both"/>
        <w:rPr>
          <w:rFonts w:ascii="Times New Roman"/>
          <w:color w:val="FFFFFF"/>
          <w:sz w:val="24"/>
        </w:rPr>
      </w:pPr>
      <w:r>
        <w:rPr>
          <w:rFonts w:ascii="Times New Roman"/>
          <w:color w:val="FFFFFF"/>
          <w:sz w:val="24"/>
        </w:rPr>
        <w:t>Les s</w:t>
      </w:r>
    </w:p>
    <w:p w:rsidR="002C661A" w:rsidRDefault="002A727D">
      <w:pPr>
        <w:spacing w:after="0" w:line="360" w:lineRule="auto"/>
        <w:jc w:val="both"/>
        <w:rPr>
          <w:rFonts w:ascii="Times New Roman"/>
          <w:color w:val="FFFFFF"/>
          <w:sz w:val="24"/>
        </w:rPr>
      </w:pPr>
      <w:r>
        <w:rPr>
          <w:rFonts w:ascii="Times New Roman"/>
          <w:color w:val="000000"/>
          <w:sz w:val="24"/>
        </w:rPr>
        <w:t xml:space="preserve">Les streptocoques sont des coccis à Gram positif différenciables des staphylocoques par l'absence de catalase </w:t>
      </w:r>
    </w:p>
    <w:p w:rsidR="002C661A" w:rsidRDefault="002C661A">
      <w:pPr>
        <w:spacing w:after="0" w:line="240" w:lineRule="auto"/>
        <w:jc w:val="center"/>
        <w:rPr>
          <w:rFonts w:ascii="Times New Roman"/>
          <w:color w:val="FFFFFF"/>
          <w:sz w:val="24"/>
        </w:rPr>
      </w:pPr>
    </w:p>
    <w:p w:rsidR="002C661A" w:rsidRDefault="002C661A">
      <w:pPr>
        <w:spacing w:after="0" w:line="360" w:lineRule="auto"/>
        <w:jc w:val="both"/>
        <w:rPr>
          <w:rFonts w:ascii="Times New Roman"/>
          <w:color w:val="FFFFFF"/>
          <w:sz w:val="24"/>
        </w:rPr>
      </w:pPr>
    </w:p>
    <w:p w:rsidR="002C661A" w:rsidRDefault="002A727D">
      <w:pPr>
        <w:spacing w:after="0" w:line="360" w:lineRule="auto"/>
        <w:jc w:val="center"/>
        <w:rPr>
          <w:rFonts w:ascii="Times New Roman"/>
          <w:color w:val="FFFFFF"/>
          <w:sz w:val="24"/>
        </w:rPr>
      </w:pPr>
      <w:r>
        <w:rPr>
          <w:rFonts w:ascii="Times New Roman"/>
          <w:b/>
          <w:color w:val="000000"/>
          <w:sz w:val="24"/>
        </w:rPr>
        <w:t xml:space="preserve">Recherche d'une activité catalase. </w:t>
      </w:r>
      <w:r>
        <w:rPr>
          <w:rFonts w:ascii="Times New Roman"/>
          <w:color w:val="000000"/>
          <w:sz w:val="24"/>
        </w:rPr>
        <w:t>Les staphylocoques (catalase positive) et les</w:t>
      </w:r>
    </w:p>
    <w:p w:rsidR="002C661A" w:rsidRDefault="002A727D">
      <w:pPr>
        <w:spacing w:after="0" w:line="360" w:lineRule="auto"/>
        <w:jc w:val="center"/>
        <w:rPr>
          <w:rFonts w:ascii="Times New Roman"/>
          <w:color w:val="FFFFFF"/>
          <w:sz w:val="24"/>
        </w:rPr>
      </w:pPr>
      <w:r>
        <w:rPr>
          <w:rFonts w:ascii="Times New Roman"/>
          <w:color w:val="000000"/>
          <w:sz w:val="24"/>
        </w:rPr>
        <w:t>streptocoques (catalase négative) peuvent être différenciés par ce test.</w:t>
      </w:r>
    </w:p>
    <w:p w:rsidR="002C661A" w:rsidRDefault="002C661A">
      <w:pPr>
        <w:spacing w:after="0" w:line="360" w:lineRule="auto"/>
        <w:jc w:val="both"/>
        <w:rPr>
          <w:rFonts w:ascii="Times New Roman"/>
          <w:color w:val="FFFFFF"/>
          <w:sz w:val="24"/>
        </w:rPr>
      </w:pPr>
    </w:p>
    <w:p w:rsidR="002C661A" w:rsidRDefault="002C661A">
      <w:pPr>
        <w:spacing w:after="0" w:line="240" w:lineRule="auto"/>
        <w:jc w:val="both"/>
        <w:rPr>
          <w:rFonts w:ascii="Times New Roman"/>
          <w:color w:val="FFFFFF"/>
          <w:sz w:val="24"/>
        </w:rPr>
      </w:pPr>
    </w:p>
    <w:p w:rsidR="002C661A" w:rsidRDefault="002A727D">
      <w:pPr>
        <w:spacing w:after="0" w:line="360" w:lineRule="auto"/>
        <w:jc w:val="both"/>
        <w:rPr>
          <w:rFonts w:ascii="Times New Roman"/>
          <w:color w:val="FFFFFF"/>
          <w:sz w:val="24"/>
        </w:rPr>
      </w:pPr>
      <w:r>
        <w:rPr>
          <w:rFonts w:ascii="Times New Roman"/>
          <w:color w:val="000000"/>
          <w:sz w:val="24"/>
        </w:rPr>
        <w:t xml:space="preserve">S. </w:t>
      </w:r>
      <w:r>
        <w:rPr>
          <w:rFonts w:ascii="Times New Roman"/>
          <w:i/>
          <w:color w:val="000000"/>
          <w:sz w:val="24"/>
        </w:rPr>
        <w:t xml:space="preserve">pyogenes </w:t>
      </w:r>
      <w:r>
        <w:rPr>
          <w:rFonts w:ascii="Times New Roman"/>
          <w:color w:val="000000"/>
          <w:sz w:val="24"/>
        </w:rPr>
        <w:t xml:space="preserve">est un pathogène </w:t>
      </w:r>
      <w:r>
        <w:rPr>
          <w:rFonts w:ascii="Times New Roman"/>
          <w:b/>
          <w:color w:val="000000"/>
          <w:sz w:val="24"/>
        </w:rPr>
        <w:t xml:space="preserve">responsable de </w:t>
      </w:r>
      <w:r>
        <w:rPr>
          <w:rFonts w:ascii="Times New Roman"/>
          <w:color w:val="000000"/>
          <w:sz w:val="24"/>
        </w:rPr>
        <w:t xml:space="preserve">toute </w:t>
      </w:r>
      <w:r>
        <w:rPr>
          <w:rFonts w:ascii="Times New Roman"/>
          <w:b/>
          <w:color w:val="000000"/>
          <w:sz w:val="24"/>
        </w:rPr>
        <w:t xml:space="preserve">une gamme d'infections superficielles </w:t>
      </w:r>
      <w:r>
        <w:rPr>
          <w:rFonts w:ascii="Times New Roman"/>
          <w:color w:val="000000"/>
          <w:sz w:val="24"/>
        </w:rPr>
        <w:t xml:space="preserve">et profondes. Il forme des chaînettes de coccis dans les </w:t>
      </w:r>
      <w:r>
        <w:rPr>
          <w:rFonts w:ascii="Times New Roman"/>
          <w:b/>
          <w:color w:val="000000"/>
          <w:sz w:val="24"/>
        </w:rPr>
        <w:t>préparations .</w:t>
      </w:r>
    </w:p>
    <w:p w:rsidR="002C661A" w:rsidRDefault="002A727D">
      <w:pPr>
        <w:spacing w:after="0" w:line="360" w:lineRule="auto"/>
        <w:jc w:val="both"/>
        <w:rPr>
          <w:rFonts w:ascii="Times New Roman"/>
          <w:color w:val="FFFFFF"/>
          <w:sz w:val="24"/>
        </w:rPr>
      </w:pPr>
      <w:r>
        <w:rPr>
          <w:rFonts w:ascii="Times New Roman"/>
          <w:color w:val="000000"/>
          <w:sz w:val="24"/>
        </w:rPr>
        <w:t xml:space="preserve">Les streptocoques peuvent être classés selon l'hémolyse qu'ils produisent sur gélose au sang. S. </w:t>
      </w:r>
      <w:r>
        <w:rPr>
          <w:rFonts w:ascii="Times New Roman"/>
          <w:i/>
          <w:color w:val="000000"/>
          <w:sz w:val="24"/>
        </w:rPr>
        <w:t xml:space="preserve">pyogenes </w:t>
      </w:r>
      <w:r>
        <w:rPr>
          <w:rFonts w:ascii="Times New Roman"/>
          <w:color w:val="000000"/>
          <w:sz w:val="24"/>
        </w:rPr>
        <w:t xml:space="preserve">produit une hémolyse claire de type béta Les streptocoques béta-hémolytiques sont divisés selon la classification de Lancefield, qui repose sur le typage d'un antigène polysaccharidique de paroi . S. </w:t>
      </w:r>
      <w:r>
        <w:rPr>
          <w:rFonts w:ascii="Times New Roman"/>
          <w:i/>
          <w:color w:val="000000"/>
          <w:sz w:val="24"/>
        </w:rPr>
        <w:t xml:space="preserve">pyogenes </w:t>
      </w:r>
      <w:r>
        <w:rPr>
          <w:rFonts w:ascii="Times New Roman"/>
          <w:color w:val="000000"/>
          <w:sz w:val="24"/>
        </w:rPr>
        <w:t xml:space="preserve">appartient au groupe A et S. </w:t>
      </w:r>
      <w:r>
        <w:rPr>
          <w:rFonts w:ascii="Times New Roman"/>
          <w:i/>
          <w:color w:val="000000"/>
          <w:sz w:val="24"/>
        </w:rPr>
        <w:t xml:space="preserve">agalactiae </w:t>
      </w:r>
      <w:r>
        <w:rPr>
          <w:rFonts w:ascii="Times New Roman"/>
          <w:color w:val="000000"/>
          <w:sz w:val="24"/>
        </w:rPr>
        <w:t>au groupe B de Lancefield.</w:t>
      </w:r>
    </w:p>
    <w:p w:rsidR="002C661A" w:rsidRDefault="002A727D">
      <w:pPr>
        <w:spacing w:after="0" w:line="360" w:lineRule="auto"/>
        <w:jc w:val="both"/>
        <w:rPr>
          <w:rFonts w:ascii="Times New Roman"/>
          <w:color w:val="FFFFFF"/>
          <w:sz w:val="24"/>
        </w:rPr>
      </w:pPr>
      <w:r>
        <w:rPr>
          <w:rFonts w:ascii="Times New Roman"/>
          <w:b/>
          <w:color w:val="000000"/>
          <w:sz w:val="24"/>
        </w:rPr>
        <w:t>La classification des streptocoques</w:t>
      </w:r>
    </w:p>
    <w:p w:rsidR="002C661A" w:rsidRDefault="002A727D">
      <w:pPr>
        <w:spacing w:after="0" w:line="360" w:lineRule="auto"/>
        <w:jc w:val="both"/>
        <w:rPr>
          <w:rFonts w:ascii="Times New Roman"/>
          <w:color w:val="FFFFFF"/>
          <w:sz w:val="24"/>
        </w:rPr>
      </w:pPr>
      <w:r>
        <w:rPr>
          <w:rFonts w:ascii="Times New Roman"/>
          <w:color w:val="000000"/>
          <w:sz w:val="24"/>
        </w:rPr>
        <w:t>La classification est basée sur la structure antigénique des streptocoques, étudiée par Lancefield . Elle comporte :</w:t>
      </w:r>
    </w:p>
    <w:p w:rsidR="002C661A" w:rsidRDefault="002A727D">
      <w:pPr>
        <w:spacing w:after="0" w:line="360" w:lineRule="auto"/>
        <w:jc w:val="both"/>
        <w:rPr>
          <w:rFonts w:ascii="Times New Roman"/>
          <w:color w:val="FFFFFF"/>
          <w:sz w:val="24"/>
        </w:rPr>
      </w:pPr>
      <w:r>
        <w:rPr>
          <w:rFonts w:ascii="Times New Roman"/>
          <w:color w:val="000000"/>
          <w:sz w:val="24"/>
        </w:rPr>
        <w:t>- Un antigène spécifique de groupe : la substance C, située dans la paroi bactérienne. Elle se trouve chez la plupart des streptocoques, sauf les "non-groupables". Sa nature est variable suivant les groupes: il s'agit de polysaccharides pour les groupes A, B, C, E, F, G; d'acides lipotéichoïques pour les  groupes D et N ...</w:t>
      </w:r>
    </w:p>
    <w:p w:rsidR="002C661A" w:rsidRDefault="002A727D">
      <w:pPr>
        <w:spacing w:after="0" w:line="360" w:lineRule="auto"/>
        <w:jc w:val="both"/>
        <w:rPr>
          <w:rFonts w:ascii="Times New Roman"/>
          <w:color w:val="FFFFFF"/>
          <w:sz w:val="24"/>
        </w:rPr>
      </w:pPr>
      <w:r>
        <w:rPr>
          <w:rFonts w:ascii="Times New Roman"/>
          <w:color w:val="000000"/>
          <w:sz w:val="24"/>
        </w:rPr>
        <w:t>L'identification du groupe s'effectue a l'aide de sérums anti streptocoques grâce a des réactions d'agglutination (sur lame -&gt; Slidex Strepto-Kit) ou de précipitation (en milieu liquide -&gt; technique de référence de Lancefield).</w:t>
      </w:r>
    </w:p>
    <w:p w:rsidR="002C661A" w:rsidRDefault="002A727D">
      <w:pPr>
        <w:spacing w:after="0" w:line="360" w:lineRule="auto"/>
        <w:jc w:val="both"/>
        <w:rPr>
          <w:rFonts w:ascii="Times New Roman"/>
          <w:color w:val="000000"/>
          <w:sz w:val="24"/>
        </w:rPr>
      </w:pPr>
      <w:r>
        <w:rPr>
          <w:rFonts w:ascii="Times New Roman"/>
          <w:color w:val="000000"/>
          <w:sz w:val="24"/>
        </w:rPr>
        <w:t>- Des antigènes spécifiques de type, situes plus en surface que la substance C. Leur nature est variable selon les espèces : substances M et T de nature protéique chez les streptocoques A, polyosides de capsule chez les pneumocoques</w:t>
      </w:r>
    </w:p>
    <w:p w:rsidR="002C661A" w:rsidRDefault="002C661A">
      <w:pPr>
        <w:spacing w:after="0" w:line="360" w:lineRule="auto"/>
        <w:jc w:val="both"/>
        <w:rPr>
          <w:rFonts w:ascii="Times New Roman"/>
          <w:color w:val="FFFFFF"/>
          <w:sz w:val="24"/>
        </w:rPr>
      </w:pPr>
    </w:p>
    <w:p w:rsidR="002C661A" w:rsidRDefault="002C661A">
      <w:pPr>
        <w:spacing w:after="0" w:line="240" w:lineRule="auto"/>
        <w:ind w:hanging="540"/>
        <w:jc w:val="center"/>
        <w:rPr>
          <w:rFonts w:ascii="Times New Roman"/>
          <w:color w:val="FFFFFF"/>
          <w:sz w:val="24"/>
        </w:rPr>
      </w:pPr>
    </w:p>
    <w:p w:rsidR="002C661A" w:rsidRDefault="002C661A" w:rsidP="009C4773">
      <w:pPr>
        <w:spacing w:after="0" w:line="200" w:lineRule="atLeast"/>
        <w:rPr>
          <w:rFonts w:ascii="Times New Roman"/>
          <w:i/>
          <w:sz w:val="24"/>
        </w:rPr>
      </w:pPr>
    </w:p>
    <w:p w:rsidR="002C661A" w:rsidRDefault="002A727D">
      <w:pPr>
        <w:spacing w:after="0" w:line="200" w:lineRule="atLeast"/>
        <w:jc w:val="both"/>
        <w:rPr>
          <w:rFonts w:ascii="Times New Roman"/>
          <w:color w:val="FFFFFF"/>
          <w:sz w:val="24"/>
        </w:rPr>
      </w:pPr>
      <w:r>
        <w:rPr>
          <w:rFonts w:ascii="Times New Roman"/>
          <w:b/>
          <w:color w:val="000000"/>
          <w:sz w:val="24"/>
        </w:rPr>
        <w:t>Streptocoques du groupe A:</w:t>
      </w:r>
    </w:p>
    <w:p w:rsidR="002C661A" w:rsidRDefault="002A727D">
      <w:pPr>
        <w:spacing w:after="0" w:line="360" w:lineRule="auto"/>
        <w:jc w:val="both"/>
        <w:rPr>
          <w:rFonts w:ascii="Times New Roman"/>
          <w:color w:val="FFFFFF"/>
          <w:sz w:val="24"/>
        </w:rPr>
      </w:pPr>
      <w:r>
        <w:rPr>
          <w:rFonts w:ascii="Times New Roman"/>
          <w:color w:val="000000"/>
          <w:sz w:val="24"/>
        </w:rPr>
        <w:t xml:space="preserve">Ce groupe ne comporte qu'une seule espèce : </w:t>
      </w:r>
      <w:r>
        <w:rPr>
          <w:rFonts w:ascii="Times New Roman"/>
          <w:i/>
          <w:color w:val="000000"/>
          <w:sz w:val="24"/>
        </w:rPr>
        <w:t xml:space="preserve">Streptococcus pyogenes </w:t>
      </w:r>
      <w:r>
        <w:rPr>
          <w:rFonts w:ascii="Times New Roman"/>
          <w:color w:val="000000"/>
          <w:sz w:val="24"/>
        </w:rPr>
        <w:t xml:space="preserve">(= espèce type du genre </w:t>
      </w:r>
      <w:r>
        <w:rPr>
          <w:rFonts w:ascii="Times New Roman"/>
          <w:i/>
          <w:color w:val="000000"/>
          <w:sz w:val="24"/>
        </w:rPr>
        <w:t>Streptococcus</w:t>
      </w:r>
      <w:r>
        <w:rPr>
          <w:rFonts w:ascii="Times New Roman"/>
          <w:color w:val="000000"/>
          <w:sz w:val="24"/>
        </w:rPr>
        <w:t>), qui ne se rencontre que chez l'homme.</w:t>
      </w:r>
    </w:p>
    <w:p w:rsidR="002C661A" w:rsidRDefault="002A727D">
      <w:pPr>
        <w:spacing w:after="0" w:line="360" w:lineRule="auto"/>
        <w:jc w:val="both"/>
        <w:rPr>
          <w:rFonts w:ascii="Times New Roman"/>
          <w:color w:val="FFFFFF"/>
          <w:sz w:val="24"/>
        </w:rPr>
      </w:pPr>
      <w:r>
        <w:rPr>
          <w:rFonts w:ascii="Times New Roman"/>
          <w:color w:val="000000"/>
          <w:sz w:val="24"/>
        </w:rPr>
        <w:t>Son habitat habituel est le pharynx, mais on peut la trouver également sur la peau. Beaucoup de sujets sont des porteurs sains. La transmission est surtout par voie aérienne, ou par contact direct.</w:t>
      </w:r>
    </w:p>
    <w:p w:rsidR="002C661A" w:rsidRDefault="002A727D">
      <w:pPr>
        <w:spacing w:after="0" w:line="360" w:lineRule="auto"/>
        <w:jc w:val="both"/>
        <w:rPr>
          <w:rFonts w:ascii="Times New Roman"/>
          <w:color w:val="FFFFFF"/>
          <w:sz w:val="24"/>
        </w:rPr>
      </w:pPr>
      <w:r>
        <w:rPr>
          <w:rFonts w:ascii="Times New Roman"/>
          <w:b/>
          <w:color w:val="000000"/>
          <w:sz w:val="24"/>
        </w:rPr>
        <w:t>Facteurs de pathogénicité:</w:t>
      </w:r>
    </w:p>
    <w:p w:rsidR="002C661A" w:rsidRDefault="002A727D">
      <w:pPr>
        <w:spacing w:after="0" w:line="360" w:lineRule="auto"/>
        <w:jc w:val="both"/>
        <w:rPr>
          <w:rFonts w:ascii="Times New Roman"/>
          <w:color w:val="FFFFFF"/>
          <w:sz w:val="24"/>
        </w:rPr>
      </w:pPr>
      <w:r>
        <w:rPr>
          <w:rFonts w:ascii="Times New Roman"/>
          <w:b/>
          <w:i/>
          <w:color w:val="000000"/>
          <w:sz w:val="24"/>
        </w:rPr>
        <w:t>1. les toxine</w:t>
      </w:r>
    </w:p>
    <w:p w:rsidR="002C661A" w:rsidRDefault="002A727D">
      <w:pPr>
        <w:spacing w:after="0" w:line="360" w:lineRule="auto"/>
        <w:jc w:val="both"/>
        <w:rPr>
          <w:rFonts w:ascii="Times New Roman"/>
          <w:color w:val="FFFFFF"/>
          <w:sz w:val="24"/>
        </w:rPr>
      </w:pPr>
      <w:r>
        <w:rPr>
          <w:rFonts w:ascii="Times New Roman"/>
          <w:b/>
          <w:color w:val="000000"/>
          <w:sz w:val="24"/>
        </w:rPr>
        <w:t xml:space="preserve">• Streptolysines O et S : </w:t>
      </w:r>
      <w:r>
        <w:rPr>
          <w:rFonts w:ascii="Times New Roman"/>
          <w:color w:val="000000"/>
          <w:sz w:val="24"/>
        </w:rPr>
        <w:t>La streptolysine O est la plus importante, de nature protéique, thermostable, elle entraine la lyse des hématies et d'autres cellules car elle se fixe sur les membranes cellulaires produisant des lésions par ou s‘échappent leurs constituants (toxine cytolytique).</w:t>
      </w:r>
    </w:p>
    <w:p w:rsidR="002C661A" w:rsidRDefault="002A727D">
      <w:pPr>
        <w:spacing w:after="0" w:line="360" w:lineRule="auto"/>
        <w:jc w:val="both"/>
        <w:rPr>
          <w:rFonts w:ascii="Times New Roman"/>
          <w:color w:val="000000"/>
          <w:sz w:val="24"/>
        </w:rPr>
      </w:pPr>
      <w:r>
        <w:rPr>
          <w:rFonts w:ascii="Times New Roman"/>
          <w:color w:val="000000"/>
          <w:sz w:val="24"/>
        </w:rPr>
        <w:t xml:space="preserve">Elle est antigénique : elle suscite la formation d'antistreptolysine O (ASL O) -&gt; test ASL O = recherche indirecte d'une infection a </w:t>
      </w:r>
      <w:r>
        <w:rPr>
          <w:rFonts w:ascii="Times New Roman"/>
          <w:i/>
          <w:color w:val="000000"/>
          <w:sz w:val="24"/>
        </w:rPr>
        <w:t xml:space="preserve">Streptococcus pyogenes </w:t>
      </w:r>
      <w:r>
        <w:rPr>
          <w:rFonts w:ascii="Times New Roman"/>
          <w:color w:val="000000"/>
          <w:sz w:val="24"/>
        </w:rPr>
        <w:t>par dépistage des anticorps spécifiques (s'effectue dans le cadre de rhumatisme articulaire aigu ou de glomérulonéphrite)</w:t>
      </w:r>
    </w:p>
    <w:tbl>
      <w:tblPr>
        <w:tblW w:w="1000" w:type="pct"/>
        <w:tblLook w:val="04A0"/>
      </w:tblPr>
      <w:tblGrid>
        <w:gridCol w:w="1702"/>
        <w:gridCol w:w="222"/>
      </w:tblGrid>
      <w:tr w:rsidR="002C661A">
        <w:tc>
          <w:tcPr>
            <w:tcW w:w="4485" w:type="dxa"/>
            <w:tcBorders>
              <w:top w:val="nil"/>
              <w:left w:val="nil"/>
              <w:bottom w:val="nil"/>
              <w:right w:val="nil"/>
            </w:tcBorders>
            <w:vAlign w:val="center"/>
          </w:tcPr>
          <w:p w:rsidR="002C661A" w:rsidRDefault="002C661A">
            <w:pPr>
              <w:spacing w:after="0" w:line="360" w:lineRule="auto"/>
              <w:jc w:val="both"/>
              <w:rPr>
                <w:rFonts w:ascii="Times New Roman"/>
                <w:sz w:val="24"/>
              </w:rPr>
            </w:pPr>
          </w:p>
        </w:tc>
        <w:tc>
          <w:tcPr>
            <w:tcW w:w="0" w:type="auto"/>
            <w:tcBorders>
              <w:top w:val="nil"/>
              <w:left w:val="nil"/>
              <w:bottom w:val="nil"/>
              <w:right w:val="nil"/>
            </w:tcBorders>
            <w:vAlign w:val="center"/>
          </w:tcPr>
          <w:p w:rsidR="002C661A" w:rsidRDefault="002C661A">
            <w:pPr>
              <w:spacing w:after="0" w:line="360" w:lineRule="auto"/>
              <w:jc w:val="both"/>
              <w:rPr>
                <w:rFonts w:ascii="Times New Roman"/>
                <w:sz w:val="24"/>
              </w:rPr>
            </w:pPr>
          </w:p>
        </w:tc>
      </w:tr>
      <w:tr w:rsidR="002C661A">
        <w:trPr>
          <w:gridAfter w:val="1"/>
        </w:trPr>
        <w:tc>
          <w:tcPr>
            <w:tcW w:w="0" w:type="auto"/>
            <w:tcBorders>
              <w:top w:val="nil"/>
              <w:left w:val="nil"/>
              <w:bottom w:val="nil"/>
              <w:right w:val="nil"/>
            </w:tcBorders>
            <w:vAlign w:val="center"/>
          </w:tcPr>
          <w:p w:rsidR="002C661A" w:rsidRDefault="002C661A">
            <w:pPr>
              <w:spacing w:after="0" w:line="360" w:lineRule="auto"/>
              <w:jc w:val="both"/>
              <w:rPr>
                <w:rFonts w:ascii="Times New Roman"/>
                <w:sz w:val="24"/>
              </w:rPr>
            </w:pPr>
          </w:p>
        </w:tc>
      </w:tr>
    </w:tbl>
    <w:p w:rsidR="002C661A" w:rsidRDefault="002A727D">
      <w:pPr>
        <w:spacing w:after="0" w:line="360" w:lineRule="auto"/>
        <w:jc w:val="both"/>
        <w:rPr>
          <w:rFonts w:ascii="Times New Roman"/>
          <w:color w:val="000000"/>
          <w:sz w:val="24"/>
        </w:rPr>
      </w:pPr>
      <w:r>
        <w:rPr>
          <w:rFonts w:ascii="Times New Roman"/>
          <w:color w:val="000000"/>
          <w:sz w:val="24"/>
        </w:rPr>
        <w:t>Les streptolysines O et S sont des hémolysines dont l'effet est observé</w:t>
      </w:r>
      <w:r>
        <w:rPr>
          <w:rFonts w:ascii="Times New Roman"/>
          <w:i/>
          <w:color w:val="000000"/>
          <w:sz w:val="24"/>
        </w:rPr>
        <w:t xml:space="preserve"> in vitro</w:t>
      </w:r>
      <w:r>
        <w:rPr>
          <w:rFonts w:ascii="Times New Roman"/>
          <w:color w:val="000000"/>
          <w:sz w:val="24"/>
        </w:rPr>
        <w:t xml:space="preserve"> sur gélose au sang (hémolyse ß). Ce sont aussi des facteurs de pathogénicité. </w:t>
      </w:r>
      <w:r>
        <w:rPr>
          <w:rFonts w:ascii="Times New Roman"/>
          <w:i/>
          <w:color w:val="000000"/>
          <w:sz w:val="24"/>
        </w:rPr>
        <w:t>In vivo</w:t>
      </w:r>
      <w:r>
        <w:rPr>
          <w:rFonts w:ascii="Times New Roman"/>
          <w:color w:val="000000"/>
          <w:sz w:val="24"/>
        </w:rPr>
        <w:t>, la streptolysine O suscite la formation d'anticorps antistreptolysine O (ASLO)</w:t>
      </w:r>
    </w:p>
    <w:p w:rsidR="00B52B5B" w:rsidRDefault="00B52B5B">
      <w:pPr>
        <w:spacing w:after="0" w:line="360" w:lineRule="auto"/>
        <w:jc w:val="both"/>
        <w:rPr>
          <w:rFonts w:ascii="Times New Roman"/>
          <w:b/>
          <w:color w:val="000000"/>
          <w:sz w:val="24"/>
        </w:rPr>
      </w:pPr>
    </w:p>
    <w:p w:rsidR="002C661A" w:rsidRDefault="002A727D">
      <w:pPr>
        <w:spacing w:after="0" w:line="360" w:lineRule="auto"/>
        <w:jc w:val="both"/>
        <w:rPr>
          <w:rFonts w:ascii="Times New Roman"/>
          <w:color w:val="FFFFFF"/>
          <w:sz w:val="24"/>
        </w:rPr>
      </w:pPr>
      <w:r>
        <w:rPr>
          <w:rFonts w:ascii="Times New Roman"/>
          <w:b/>
          <w:i/>
          <w:color w:val="000000"/>
          <w:sz w:val="24"/>
        </w:rPr>
        <w:t>2) les enzymes</w:t>
      </w:r>
    </w:p>
    <w:p w:rsidR="009C4773" w:rsidRDefault="002A727D">
      <w:pPr>
        <w:spacing w:after="0" w:line="360" w:lineRule="auto"/>
        <w:jc w:val="both"/>
        <w:rPr>
          <w:rFonts w:ascii="Times New Roman"/>
          <w:color w:val="000000"/>
          <w:sz w:val="24"/>
        </w:rPr>
      </w:pPr>
      <w:r>
        <w:rPr>
          <w:rFonts w:ascii="Times New Roman"/>
          <w:b/>
          <w:color w:val="000000"/>
          <w:sz w:val="24"/>
        </w:rPr>
        <w:t xml:space="preserve">• Streptokinase (SK) </w:t>
      </w:r>
      <w:r>
        <w:rPr>
          <w:rFonts w:ascii="Times New Roman"/>
          <w:color w:val="000000"/>
          <w:sz w:val="24"/>
        </w:rPr>
        <w:t xml:space="preserve">ou fibrinolysine, qui dissout les caillots de fibrine. </w:t>
      </w:r>
    </w:p>
    <w:p w:rsidR="002C661A" w:rsidRDefault="002A727D">
      <w:pPr>
        <w:spacing w:after="0" w:line="360" w:lineRule="auto"/>
        <w:jc w:val="both"/>
        <w:rPr>
          <w:rFonts w:ascii="Times New Roman"/>
          <w:color w:val="FFFFFF"/>
          <w:sz w:val="24"/>
        </w:rPr>
      </w:pPr>
      <w:r>
        <w:rPr>
          <w:rFonts w:ascii="Times New Roman"/>
          <w:color w:val="000000"/>
          <w:sz w:val="24"/>
        </w:rPr>
        <w:t>-&gt; Recherche indirecte, idem ASLO</w:t>
      </w:r>
    </w:p>
    <w:p w:rsidR="002C661A" w:rsidRDefault="002A727D">
      <w:pPr>
        <w:spacing w:after="0" w:line="360" w:lineRule="auto"/>
        <w:jc w:val="both"/>
        <w:rPr>
          <w:rFonts w:ascii="Times New Roman"/>
          <w:color w:val="FFFFFF"/>
          <w:sz w:val="24"/>
        </w:rPr>
      </w:pPr>
      <w:r>
        <w:rPr>
          <w:rFonts w:ascii="Times New Roman"/>
          <w:b/>
          <w:color w:val="000000"/>
          <w:sz w:val="24"/>
        </w:rPr>
        <w:t>• Hyaluronidase (SH)</w:t>
      </w:r>
      <w:r>
        <w:rPr>
          <w:rFonts w:ascii="Times New Roman"/>
          <w:color w:val="000000"/>
          <w:sz w:val="24"/>
        </w:rPr>
        <w:t>, détruit l'acide hyaluronique de la matrice extracellulaire =&gt; dissémination du germe. Entraine la formation d'anticorps : ASH</w:t>
      </w:r>
    </w:p>
    <w:p w:rsidR="002C661A" w:rsidRDefault="002A727D">
      <w:pPr>
        <w:spacing w:after="0" w:line="360" w:lineRule="auto"/>
        <w:jc w:val="both"/>
        <w:rPr>
          <w:rFonts w:ascii="Times New Roman"/>
          <w:color w:val="FFFFFF"/>
          <w:sz w:val="24"/>
        </w:rPr>
      </w:pPr>
      <w:r>
        <w:rPr>
          <w:rFonts w:ascii="Times New Roman"/>
          <w:color w:val="000000"/>
          <w:sz w:val="24"/>
        </w:rPr>
        <w:t>-&gt; Recherche indirecte, idem ASLO</w:t>
      </w:r>
    </w:p>
    <w:p w:rsidR="002C661A" w:rsidRDefault="002A727D">
      <w:pPr>
        <w:spacing w:after="0" w:line="360" w:lineRule="auto"/>
        <w:jc w:val="both"/>
        <w:rPr>
          <w:rFonts w:ascii="Times New Roman"/>
          <w:color w:val="FFFFFF"/>
          <w:sz w:val="24"/>
        </w:rPr>
      </w:pPr>
      <w:r>
        <w:rPr>
          <w:rFonts w:ascii="Times New Roman"/>
          <w:b/>
          <w:color w:val="000000"/>
          <w:sz w:val="24"/>
        </w:rPr>
        <w:t xml:space="preserve">• Streptodnase (SD) </w:t>
      </w:r>
      <w:r>
        <w:rPr>
          <w:rFonts w:ascii="Times New Roman"/>
          <w:color w:val="000000"/>
          <w:sz w:val="24"/>
        </w:rPr>
        <w:t>ou désoxyribonucléase, qui détruit l'ADN cellulaire. Entraine la formation d'anticorps : ASC) -&gt; Recherche indirecte, idem ASL O</w:t>
      </w:r>
    </w:p>
    <w:p w:rsidR="002C661A" w:rsidRDefault="002A727D">
      <w:pPr>
        <w:spacing w:after="0" w:line="360" w:lineRule="auto"/>
        <w:jc w:val="both"/>
        <w:rPr>
          <w:rFonts w:ascii="Times New Roman"/>
          <w:color w:val="FFFFFF"/>
          <w:sz w:val="24"/>
        </w:rPr>
      </w:pPr>
      <w:r>
        <w:rPr>
          <w:rFonts w:ascii="Times New Roman"/>
          <w:b/>
          <w:color w:val="000000"/>
          <w:sz w:val="24"/>
        </w:rPr>
        <w:lastRenderedPageBreak/>
        <w:t xml:space="preserve">S. Pyogenes </w:t>
      </w:r>
      <w:r>
        <w:rPr>
          <w:rFonts w:ascii="Times New Roman"/>
          <w:color w:val="000000"/>
          <w:sz w:val="24"/>
        </w:rPr>
        <w:t xml:space="preserve"> est responsable de plusieurs infection:</w:t>
      </w:r>
    </w:p>
    <w:p w:rsidR="002C661A" w:rsidRDefault="002A727D">
      <w:pPr>
        <w:spacing w:after="0" w:line="360" w:lineRule="auto"/>
        <w:jc w:val="both"/>
        <w:rPr>
          <w:rFonts w:ascii="Times New Roman"/>
          <w:color w:val="FFFFFF"/>
          <w:sz w:val="24"/>
        </w:rPr>
      </w:pPr>
      <w:r>
        <w:rPr>
          <w:rFonts w:ascii="Times New Roman"/>
          <w:color w:val="000000"/>
          <w:sz w:val="24"/>
        </w:rPr>
        <w:t>Les angines érythémateuse, de la scarlatine, l’impétigo de l’enfant.</w:t>
      </w:r>
    </w:p>
    <w:p w:rsidR="002C661A" w:rsidRDefault="002A727D">
      <w:pPr>
        <w:spacing w:after="0" w:line="360" w:lineRule="auto"/>
        <w:jc w:val="both"/>
        <w:rPr>
          <w:rFonts w:ascii="Times New Roman"/>
          <w:color w:val="FFFFFF"/>
          <w:sz w:val="24"/>
        </w:rPr>
      </w:pPr>
      <w:r>
        <w:rPr>
          <w:rFonts w:ascii="Times New Roman"/>
          <w:b/>
          <w:color w:val="000000"/>
          <w:sz w:val="24"/>
        </w:rPr>
        <w:t>Streptocoque du groupe B</w:t>
      </w:r>
    </w:p>
    <w:p w:rsidR="002C661A" w:rsidRDefault="002A727D">
      <w:pPr>
        <w:spacing w:after="0" w:line="360" w:lineRule="auto"/>
        <w:jc w:val="both"/>
        <w:rPr>
          <w:rFonts w:ascii="Times New Roman"/>
          <w:color w:val="FFFFFF"/>
          <w:sz w:val="24"/>
        </w:rPr>
      </w:pPr>
      <w:r>
        <w:rPr>
          <w:rFonts w:ascii="Times New Roman"/>
          <w:color w:val="000000"/>
          <w:sz w:val="24"/>
        </w:rPr>
        <w:t xml:space="preserve">Ce groupe ne comporte qu'une seule espèce : </w:t>
      </w:r>
      <w:r>
        <w:rPr>
          <w:rFonts w:ascii="Times New Roman"/>
          <w:i/>
          <w:color w:val="000000"/>
          <w:sz w:val="24"/>
        </w:rPr>
        <w:t>Streptococcus agalactiae</w:t>
      </w:r>
      <w:r>
        <w:rPr>
          <w:rFonts w:ascii="Times New Roman"/>
          <w:color w:val="000000"/>
          <w:sz w:val="24"/>
        </w:rPr>
        <w:t>, qui se rencontre aussi bien en pathologie humaine que vétérinaire (mammite chez la vache).est un streptocoque béta hémolytique beaucoup de sujets sont porteurs sains au niveau de leur muqueuse (intestinale et vaginales).</w:t>
      </w:r>
    </w:p>
    <w:p w:rsidR="002C661A" w:rsidRDefault="002A727D">
      <w:pPr>
        <w:spacing w:after="0" w:line="360" w:lineRule="auto"/>
        <w:jc w:val="both"/>
        <w:rPr>
          <w:rFonts w:ascii="Times New Roman"/>
          <w:color w:val="FFFFFF"/>
          <w:sz w:val="24"/>
        </w:rPr>
      </w:pPr>
      <w:r>
        <w:rPr>
          <w:rFonts w:ascii="Times New Roman"/>
          <w:b/>
          <w:color w:val="000000"/>
          <w:sz w:val="24"/>
        </w:rPr>
        <w:t>Facteurs de pathogénicité:</w:t>
      </w:r>
    </w:p>
    <w:p w:rsidR="002C661A" w:rsidRDefault="002A727D">
      <w:pPr>
        <w:spacing w:after="0" w:line="360" w:lineRule="auto"/>
        <w:jc w:val="both"/>
        <w:rPr>
          <w:rFonts w:ascii="Times New Roman"/>
          <w:color w:val="FFFFFF"/>
          <w:sz w:val="24"/>
        </w:rPr>
      </w:pPr>
      <w:r>
        <w:rPr>
          <w:rFonts w:ascii="Times New Roman"/>
          <w:i/>
          <w:color w:val="000000"/>
          <w:sz w:val="24"/>
        </w:rPr>
        <w:t xml:space="preserve">Streptococcus agalactiae  possède une capsule polysaccharidique (sérotypes). </w:t>
      </w:r>
      <w:r>
        <w:rPr>
          <w:rFonts w:ascii="Times New Roman"/>
          <w:color w:val="000000"/>
          <w:sz w:val="24"/>
        </w:rPr>
        <w:t>Cette capsule a effet antiphagocytaire.</w:t>
      </w:r>
    </w:p>
    <w:p w:rsidR="002C661A" w:rsidRDefault="002A727D">
      <w:pPr>
        <w:spacing w:after="0" w:line="360" w:lineRule="auto"/>
        <w:jc w:val="both"/>
        <w:rPr>
          <w:rFonts w:ascii="Times New Roman"/>
          <w:color w:val="FFFFFF"/>
          <w:sz w:val="24"/>
        </w:rPr>
      </w:pPr>
      <w:r>
        <w:rPr>
          <w:rFonts w:ascii="Times New Roman"/>
          <w:color w:val="000000"/>
          <w:sz w:val="24"/>
        </w:rPr>
        <w:t>Est responsable d’infection chez le nouveau né</w:t>
      </w:r>
      <w:r>
        <w:rPr>
          <w:rFonts w:ascii="Times New Roman"/>
          <w:b/>
          <w:i/>
          <w:color w:val="000000"/>
          <w:sz w:val="24"/>
        </w:rPr>
        <w:t xml:space="preserve"> </w:t>
      </w:r>
      <w:r>
        <w:rPr>
          <w:rFonts w:ascii="Times New Roman"/>
          <w:color w:val="000000"/>
          <w:sz w:val="24"/>
        </w:rPr>
        <w:t>précoce ou tardive soit une septicémie accompagnée d’une pneumopathie, ou des méningites dans les formes tardives.</w:t>
      </w:r>
    </w:p>
    <w:p w:rsidR="002C661A" w:rsidRDefault="002A727D">
      <w:pPr>
        <w:spacing w:after="0" w:line="360" w:lineRule="auto"/>
        <w:jc w:val="both"/>
        <w:rPr>
          <w:rFonts w:ascii="Times New Roman"/>
          <w:color w:val="FFFFFF"/>
          <w:sz w:val="24"/>
        </w:rPr>
      </w:pPr>
      <w:r>
        <w:rPr>
          <w:rFonts w:ascii="Times New Roman"/>
          <w:b/>
          <w:color w:val="000000"/>
          <w:sz w:val="24"/>
        </w:rPr>
        <w:t>Les streptocoques commensaux de la cavité buccale:</w:t>
      </w:r>
    </w:p>
    <w:p w:rsidR="002C661A" w:rsidRDefault="002A727D">
      <w:pPr>
        <w:spacing w:after="0" w:line="360" w:lineRule="auto"/>
        <w:jc w:val="both"/>
        <w:rPr>
          <w:rFonts w:ascii="Times New Roman"/>
          <w:b/>
          <w:color w:val="000000"/>
          <w:sz w:val="24"/>
        </w:rPr>
      </w:pPr>
      <w:r>
        <w:rPr>
          <w:rFonts w:ascii="Times New Roman"/>
          <w:b/>
          <w:color w:val="000000"/>
          <w:sz w:val="24"/>
        </w:rPr>
        <w:t xml:space="preserve"> </w:t>
      </w:r>
      <w:r>
        <w:rPr>
          <w:rFonts w:ascii="Times New Roman"/>
          <w:color w:val="000000"/>
          <w:sz w:val="24"/>
        </w:rPr>
        <w:t>Appelés "</w:t>
      </w:r>
      <w:r>
        <w:rPr>
          <w:rFonts w:ascii="Times New Roman"/>
          <w:i/>
          <w:color w:val="000000"/>
          <w:sz w:val="24"/>
        </w:rPr>
        <w:t>streptococcus</w:t>
      </w:r>
      <w:r>
        <w:rPr>
          <w:rFonts w:ascii="Times New Roman"/>
          <w:color w:val="000000"/>
          <w:sz w:val="24"/>
        </w:rPr>
        <w:t xml:space="preserve"> </w:t>
      </w:r>
      <w:r>
        <w:rPr>
          <w:rFonts w:ascii="Times New Roman"/>
          <w:i/>
          <w:color w:val="000000"/>
          <w:sz w:val="24"/>
        </w:rPr>
        <w:t>viridans</w:t>
      </w:r>
      <w:r>
        <w:rPr>
          <w:rFonts w:ascii="Times New Roman"/>
          <w:color w:val="000000"/>
          <w:sz w:val="24"/>
        </w:rPr>
        <w:t>" car ils donnent habituellement une zone d'hémolyse alpha sur gélose au sang frais de mouton</w:t>
      </w:r>
      <w:r>
        <w:rPr>
          <w:rFonts w:ascii="Times New Roman"/>
          <w:b/>
          <w:color w:val="000000"/>
          <w:sz w:val="24"/>
        </w:rPr>
        <w:t xml:space="preserve"> </w:t>
      </w:r>
    </w:p>
    <w:p w:rsidR="002C661A" w:rsidRDefault="002A727D">
      <w:pPr>
        <w:spacing w:after="0" w:line="360" w:lineRule="auto"/>
        <w:jc w:val="both"/>
        <w:rPr>
          <w:rFonts w:ascii="Times New Roman"/>
          <w:color w:val="FFFFFF"/>
          <w:sz w:val="24"/>
        </w:rPr>
      </w:pPr>
      <w:r>
        <w:rPr>
          <w:rFonts w:ascii="Times New Roman"/>
          <w:b/>
          <w:color w:val="000000"/>
          <w:sz w:val="24"/>
        </w:rPr>
        <w:t>Les pneumocoques</w:t>
      </w:r>
      <w:r>
        <w:rPr>
          <w:rFonts w:ascii="Times New Roman"/>
          <w:color w:val="000000"/>
          <w:sz w:val="24"/>
        </w:rPr>
        <w:t>:</w:t>
      </w:r>
    </w:p>
    <w:p w:rsidR="002C661A" w:rsidRDefault="002A727D">
      <w:pPr>
        <w:spacing w:after="0" w:line="360" w:lineRule="auto"/>
        <w:jc w:val="both"/>
        <w:rPr>
          <w:rFonts w:ascii="Times New Roman"/>
          <w:color w:val="FFFFFF"/>
          <w:sz w:val="24"/>
        </w:rPr>
      </w:pPr>
      <w:r>
        <w:rPr>
          <w:rFonts w:ascii="Times New Roman"/>
          <w:color w:val="000000"/>
          <w:sz w:val="24"/>
        </w:rPr>
        <w:t xml:space="preserve"> Correspondant à l'espèce </w:t>
      </w:r>
      <w:r>
        <w:rPr>
          <w:rFonts w:ascii="Times New Roman"/>
          <w:i/>
          <w:color w:val="000000"/>
          <w:sz w:val="24"/>
        </w:rPr>
        <w:t xml:space="preserve">Streptococcus pneumoniae. </w:t>
      </w:r>
    </w:p>
    <w:p w:rsidR="002C661A" w:rsidRDefault="002A727D">
      <w:pPr>
        <w:spacing w:after="0" w:line="360" w:lineRule="auto"/>
        <w:jc w:val="both"/>
        <w:rPr>
          <w:rFonts w:ascii="Times New Roman"/>
          <w:color w:val="FFFFFF"/>
          <w:sz w:val="24"/>
        </w:rPr>
      </w:pPr>
      <w:r>
        <w:rPr>
          <w:rFonts w:ascii="Times New Roman"/>
          <w:b/>
          <w:color w:val="000000"/>
          <w:sz w:val="24"/>
        </w:rPr>
        <w:t>Caractères importants pour l'identification de l'espèce :</w:t>
      </w:r>
    </w:p>
    <w:p w:rsidR="002C661A" w:rsidRDefault="002A727D">
      <w:pPr>
        <w:spacing w:after="0" w:line="360" w:lineRule="auto"/>
        <w:jc w:val="both"/>
        <w:rPr>
          <w:rFonts w:ascii="Times New Roman"/>
          <w:color w:val="FFFFFF"/>
          <w:sz w:val="24"/>
        </w:rPr>
      </w:pPr>
      <w:r>
        <w:rPr>
          <w:rFonts w:ascii="Times New Roman"/>
          <w:color w:val="000000"/>
          <w:sz w:val="24"/>
        </w:rPr>
        <w:t>- Groupes par 2 en diplocoques, aspect en 8 -&gt; Gram</w:t>
      </w:r>
    </w:p>
    <w:p w:rsidR="002C661A" w:rsidRDefault="002A727D">
      <w:pPr>
        <w:spacing w:after="0" w:line="360" w:lineRule="auto"/>
        <w:jc w:val="both"/>
        <w:rPr>
          <w:rFonts w:ascii="Times New Roman"/>
          <w:color w:val="FFFFFF"/>
          <w:sz w:val="24"/>
        </w:rPr>
      </w:pPr>
      <w:r>
        <w:rPr>
          <w:rFonts w:ascii="Times New Roman"/>
          <w:color w:val="000000"/>
          <w:sz w:val="24"/>
        </w:rPr>
        <w:t>Capsules -&gt; coloration négative à l'encre de Chine</w:t>
      </w:r>
    </w:p>
    <w:p w:rsidR="002C661A" w:rsidRDefault="002A727D">
      <w:pPr>
        <w:spacing w:after="0" w:line="360" w:lineRule="auto"/>
        <w:jc w:val="both"/>
        <w:rPr>
          <w:rFonts w:ascii="Times New Roman"/>
          <w:color w:val="FFFFFF"/>
          <w:sz w:val="24"/>
        </w:rPr>
      </w:pPr>
      <w:r>
        <w:rPr>
          <w:rFonts w:ascii="Times New Roman Greek"/>
          <w:color w:val="000000"/>
          <w:sz w:val="24"/>
        </w:rPr>
        <w:t>α</w:t>
      </w:r>
      <w:r>
        <w:rPr>
          <w:rFonts w:ascii="Times New Roman Greek"/>
          <w:color w:val="000000"/>
          <w:sz w:val="24"/>
        </w:rPr>
        <w:t xml:space="preserve"> h</w:t>
      </w:r>
      <w:r>
        <w:rPr>
          <w:rFonts w:ascii="Times New Roman"/>
          <w:color w:val="000000"/>
          <w:sz w:val="24"/>
        </w:rPr>
        <w:t>émolytiques -&gt; gélose au sang</w:t>
      </w:r>
    </w:p>
    <w:p w:rsidR="002C661A" w:rsidRDefault="002A727D">
      <w:pPr>
        <w:spacing w:after="0" w:line="360" w:lineRule="auto"/>
        <w:jc w:val="both"/>
        <w:rPr>
          <w:rFonts w:ascii="Times New Roman"/>
          <w:color w:val="FFFFFF"/>
          <w:sz w:val="24"/>
        </w:rPr>
      </w:pPr>
      <w:r>
        <w:rPr>
          <w:rFonts w:ascii="Times New Roman"/>
          <w:b/>
          <w:color w:val="000000"/>
          <w:sz w:val="24"/>
        </w:rPr>
        <w:t>Pouvoir pathogène</w:t>
      </w:r>
    </w:p>
    <w:p w:rsidR="002C661A" w:rsidRDefault="002A727D">
      <w:pPr>
        <w:spacing w:after="0" w:line="360" w:lineRule="auto"/>
        <w:jc w:val="both"/>
        <w:rPr>
          <w:rFonts w:ascii="Times New Roman"/>
          <w:color w:val="FFFFFF"/>
          <w:sz w:val="24"/>
        </w:rPr>
      </w:pPr>
      <w:r>
        <w:rPr>
          <w:rFonts w:ascii="Times New Roman"/>
          <w:color w:val="000000"/>
          <w:sz w:val="24"/>
        </w:rPr>
        <w:t>Le rôle pathogène du pneumocoque résulte totalement de son pouvoir invasif (capacités de multiplication et d'invasion des tissus, associées a la présence de capsule).</w:t>
      </w:r>
    </w:p>
    <w:p w:rsidR="002C661A" w:rsidRDefault="002A727D">
      <w:pPr>
        <w:spacing w:after="0" w:line="360" w:lineRule="auto"/>
        <w:jc w:val="both"/>
        <w:rPr>
          <w:rFonts w:ascii="Times New Roman"/>
          <w:color w:val="FFFFFF"/>
          <w:sz w:val="24"/>
        </w:rPr>
      </w:pPr>
      <w:r>
        <w:rPr>
          <w:rFonts w:ascii="Times New Roman"/>
          <w:color w:val="000000"/>
          <w:sz w:val="24"/>
        </w:rPr>
        <w:t>-&gt; Diagnostic rapide d'espèce grâce à la mise en évidence d'antigènes capsulaires</w:t>
      </w:r>
    </w:p>
    <w:p w:rsidR="002C661A" w:rsidRDefault="002C661A">
      <w:pPr>
        <w:spacing w:after="0" w:line="240" w:lineRule="auto"/>
        <w:jc w:val="both"/>
        <w:rPr>
          <w:rFonts w:ascii="Times New Roman"/>
          <w:color w:val="000000"/>
          <w:sz w:val="24"/>
        </w:rPr>
      </w:pPr>
    </w:p>
    <w:p w:rsidR="002C661A" w:rsidRDefault="002A727D" w:rsidP="003D77CC">
      <w:pPr>
        <w:spacing w:line="360" w:lineRule="auto"/>
        <w:rPr>
          <w:rFonts w:ascii="Times New Roman"/>
          <w:sz w:val="24"/>
        </w:rPr>
      </w:pPr>
      <w:r>
        <w:rPr>
          <w:rFonts w:ascii="Times New Roman"/>
          <w:b/>
          <w:sz w:val="24"/>
        </w:rPr>
        <w:t>LES</w:t>
      </w:r>
      <w:r w:rsidR="003D77CC">
        <w:rPr>
          <w:rFonts w:ascii="Times New Roman"/>
          <w:sz w:val="24"/>
        </w:rPr>
        <w:t xml:space="preserve"> </w:t>
      </w:r>
      <w:r>
        <w:rPr>
          <w:rFonts w:ascii="Times New Roman"/>
          <w:b/>
          <w:sz w:val="24"/>
        </w:rPr>
        <w:t>ENTEROCOQUES</w:t>
      </w:r>
      <w:r>
        <w:rPr>
          <w:rFonts w:ascii="Times New Roman"/>
          <w:sz w:val="24"/>
        </w:rPr>
        <w:br/>
      </w:r>
      <w:r>
        <w:rPr>
          <w:rFonts w:ascii="Times New Roman"/>
          <w:sz w:val="24"/>
        </w:rPr>
        <w:br/>
        <w:t xml:space="preserve">Ils appartiennent à un genre différent des streptocoques, bien qu'ils s'en rapprochent par certains caractères, notamment l'aspect morphologique et le métabolisme de type "anaérobie". La présence chez les entérocoques d'un acide téchoïque de paroi porteur de l'antigène D les </w:t>
      </w:r>
      <w:r>
        <w:rPr>
          <w:rFonts w:ascii="Times New Roman"/>
          <w:sz w:val="24"/>
        </w:rPr>
        <w:lastRenderedPageBreak/>
        <w:t>rapproche plus particulièrement des streptocoques du groupe D, de même que leur présence dans l'intestin de l'homme et de certains animaux. Les entérocoques sont de plus commensaux des muqueuses génito-urinaires (urètre).</w:t>
      </w:r>
    </w:p>
    <w:p w:rsidR="002C661A" w:rsidRDefault="002C661A" w:rsidP="003D77CC">
      <w:pPr>
        <w:spacing w:line="360" w:lineRule="auto"/>
        <w:rPr>
          <w:rFonts w:ascii="Times New Roman"/>
          <w:sz w:val="24"/>
        </w:rPr>
      </w:pPr>
    </w:p>
    <w:p w:rsidR="002C661A" w:rsidRDefault="002A727D" w:rsidP="003D77CC">
      <w:pPr>
        <w:spacing w:line="360" w:lineRule="auto"/>
        <w:rPr>
          <w:rFonts w:ascii="Times New Roman"/>
          <w:sz w:val="24"/>
        </w:rPr>
      </w:pPr>
      <w:r>
        <w:rPr>
          <w:rFonts w:ascii="Times New Roman"/>
          <w:sz w:val="24"/>
        </w:rPr>
        <w:t>Ils peuvent être pathogènes opportunistes et sont alors responsables d'infections urinaires, d'infections abdominales d'origine intestinale, de septicémies ou d'endocardites à porte d'entrée urinaire, génitale ou intestinale.</w:t>
      </w:r>
    </w:p>
    <w:p w:rsidR="002C661A" w:rsidRDefault="002C661A" w:rsidP="003D77CC">
      <w:pPr>
        <w:rPr>
          <w:rFonts w:ascii="Times New Roman"/>
          <w:sz w:val="24"/>
        </w:rPr>
      </w:pPr>
    </w:p>
    <w:p w:rsidR="002C661A" w:rsidRDefault="002C661A" w:rsidP="003D77CC">
      <w:pPr>
        <w:rPr>
          <w:rFonts w:ascii="Times New Roman"/>
          <w:sz w:val="24"/>
        </w:rPr>
      </w:pPr>
    </w:p>
    <w:p w:rsidR="002C661A" w:rsidRDefault="002C661A" w:rsidP="003D77CC">
      <w:pPr>
        <w:rPr>
          <w:rFonts w:ascii="Times New Roman"/>
          <w:sz w:val="24"/>
        </w:rPr>
      </w:pPr>
    </w:p>
    <w:p w:rsidR="002C661A" w:rsidRDefault="002C661A" w:rsidP="003D77CC">
      <w:pPr>
        <w:rPr>
          <w:rFonts w:ascii="Times New Roman"/>
          <w:sz w:val="24"/>
        </w:rPr>
      </w:pPr>
    </w:p>
    <w:p w:rsidR="002C661A" w:rsidRDefault="002C661A" w:rsidP="003D77CC">
      <w:pPr>
        <w:rPr>
          <w:rFonts w:ascii="Times New Roman"/>
          <w:sz w:val="24"/>
        </w:rPr>
      </w:pPr>
    </w:p>
    <w:p w:rsidR="002C661A" w:rsidRDefault="002C661A" w:rsidP="003D77CC">
      <w:pPr>
        <w:rPr>
          <w:rFonts w:ascii="Times New Roman"/>
          <w:sz w:val="24"/>
        </w:rPr>
      </w:pPr>
    </w:p>
    <w:p w:rsidR="002C661A" w:rsidRDefault="002C661A" w:rsidP="003D77CC">
      <w:pPr>
        <w:rPr>
          <w:rFonts w:ascii="Times New Roman"/>
          <w:sz w:val="24"/>
        </w:rPr>
      </w:pPr>
    </w:p>
    <w:p w:rsidR="002C661A" w:rsidRDefault="002C661A" w:rsidP="003D77CC">
      <w:pPr>
        <w:rPr>
          <w:rFonts w:ascii="Times New Roman"/>
          <w:sz w:val="24"/>
        </w:rPr>
      </w:pPr>
    </w:p>
    <w:p w:rsidR="002C661A" w:rsidRDefault="002C661A" w:rsidP="003D77CC">
      <w:pPr>
        <w:rPr>
          <w:rFonts w:ascii="Times New Roman"/>
          <w:sz w:val="24"/>
        </w:rPr>
      </w:pPr>
    </w:p>
    <w:p w:rsidR="002C661A" w:rsidRDefault="002C661A" w:rsidP="003D77CC">
      <w:pPr>
        <w:rPr>
          <w:rFonts w:ascii="Times New Roman"/>
          <w:sz w:val="24"/>
        </w:rPr>
      </w:pPr>
    </w:p>
    <w:p w:rsidR="002C661A" w:rsidRDefault="002C661A" w:rsidP="003D77CC">
      <w:pPr>
        <w:rPr>
          <w:rFonts w:ascii="Times New Roman"/>
          <w:sz w:val="24"/>
        </w:rPr>
      </w:pPr>
    </w:p>
    <w:p w:rsidR="002C661A" w:rsidRDefault="002C661A" w:rsidP="003D77CC">
      <w:pPr>
        <w:rPr>
          <w:rFonts w:ascii="Times New Roman"/>
          <w:sz w:val="24"/>
        </w:rPr>
      </w:pPr>
    </w:p>
    <w:sectPr w:rsidR="002C661A" w:rsidSect="002C661A">
      <w:headerReference w:type="default" r:id="rId6"/>
      <w:footerReference w:type="default" r:id="rId7"/>
      <w:pgSz w:w="12240" w:h="15840"/>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86F" w:rsidRDefault="00D0186F" w:rsidP="00B52B5B">
      <w:pPr>
        <w:spacing w:after="0" w:line="240" w:lineRule="auto"/>
      </w:pPr>
      <w:r>
        <w:separator/>
      </w:r>
    </w:p>
  </w:endnote>
  <w:endnote w:type="continuationSeparator" w:id="1">
    <w:p w:rsidR="00D0186F" w:rsidRDefault="00D0186F" w:rsidP="00B52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Greek">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5B" w:rsidRDefault="00B52B5B" w:rsidP="00B52B5B">
    <w:pPr>
      <w:pStyle w:val="Pieddepage"/>
      <w:jc w:val="center"/>
    </w:pPr>
    <w:r>
      <w:t>Ann</w:t>
    </w:r>
    <w:r>
      <w:t>é</w:t>
    </w:r>
    <w:r>
      <w:t>e 2024-2025</w:t>
    </w:r>
  </w:p>
  <w:p w:rsidR="00B52B5B" w:rsidRDefault="00B52B5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86F" w:rsidRDefault="00D0186F" w:rsidP="00B52B5B">
      <w:pPr>
        <w:spacing w:after="0" w:line="240" w:lineRule="auto"/>
      </w:pPr>
      <w:r>
        <w:separator/>
      </w:r>
    </w:p>
  </w:footnote>
  <w:footnote w:type="continuationSeparator" w:id="1">
    <w:p w:rsidR="00D0186F" w:rsidRDefault="00D0186F" w:rsidP="00B52B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5B" w:rsidRPr="00B52B5B" w:rsidRDefault="00B52B5B" w:rsidP="00B52B5B">
    <w:pPr>
      <w:pStyle w:val="En-tte"/>
      <w:rPr>
        <w:rFonts w:ascii="Times New Roman"/>
        <w:szCs w:val="22"/>
      </w:rPr>
    </w:pPr>
    <w:r w:rsidRPr="00B52B5B">
      <w:rPr>
        <w:rFonts w:ascii="Times New Roman"/>
        <w:szCs w:val="22"/>
      </w:rPr>
      <w:t xml:space="preserve">Chargé de Cour : Dr.Charifi samia </w:t>
    </w:r>
  </w:p>
  <w:p w:rsidR="00B52B5B" w:rsidRPr="00B52B5B" w:rsidRDefault="00B52B5B" w:rsidP="00B52B5B">
    <w:pPr>
      <w:pStyle w:val="En-tte"/>
      <w:rPr>
        <w:rFonts w:ascii="Times New Roman"/>
        <w:szCs w:val="22"/>
      </w:rPr>
    </w:pPr>
    <w:r w:rsidRPr="00B52B5B">
      <w:rPr>
        <w:rFonts w:ascii="Times New Roman"/>
        <w:szCs w:val="22"/>
      </w:rPr>
      <w:t>Master1 Microbiologie Appliquée</w:t>
    </w:r>
  </w:p>
  <w:p w:rsidR="00B52B5B" w:rsidRPr="00B52B5B" w:rsidRDefault="00B52B5B" w:rsidP="00B52B5B">
    <w:pPr>
      <w:pStyle w:val="En-tte"/>
      <w:rPr>
        <w:rFonts w:ascii="Times New Roman"/>
        <w:szCs w:val="22"/>
      </w:rPr>
    </w:pPr>
    <w:r w:rsidRPr="00B52B5B">
      <w:rPr>
        <w:rFonts w:ascii="Times New Roman"/>
        <w:szCs w:val="22"/>
      </w:rPr>
      <w:t xml:space="preserve">Cour : Microbiologie Clinique </w:t>
    </w:r>
  </w:p>
  <w:p w:rsidR="00B52B5B" w:rsidRDefault="00B52B5B" w:rsidP="00B52B5B">
    <w:pPr>
      <w:pStyle w:val="En-tte"/>
      <w:tabs>
        <w:tab w:val="clear" w:pos="4536"/>
        <w:tab w:val="clear" w:pos="9072"/>
        <w:tab w:val="left" w:pos="1263"/>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2C661A"/>
    <w:rsid w:val="002A727D"/>
    <w:rsid w:val="002C661A"/>
    <w:rsid w:val="003D77CC"/>
    <w:rsid w:val="00430BC0"/>
    <w:rsid w:val="007252B7"/>
    <w:rsid w:val="007A2156"/>
    <w:rsid w:val="007B437A"/>
    <w:rsid w:val="007F5ED9"/>
    <w:rsid w:val="008132A3"/>
    <w:rsid w:val="00927D3B"/>
    <w:rsid w:val="009C4773"/>
    <w:rsid w:val="00A2491A"/>
    <w:rsid w:val="00B52B5B"/>
    <w:rsid w:val="00BD2338"/>
    <w:rsid w:val="00D0186F"/>
    <w:rsid w:val="00DB2FC7"/>
    <w:rsid w:val="00EA4FE6"/>
    <w:rsid w:val="00EF170C"/>
    <w:rsid w:val="00F52AFD"/>
    <w:rsid w:val="00FE0E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661A"/>
    <w:pPr>
      <w:pBdr>
        <w:top w:val="none" w:sz="4" w:space="0" w:color="auto"/>
        <w:left w:val="none" w:sz="4" w:space="0" w:color="auto"/>
        <w:bottom w:val="none" w:sz="4" w:space="0" w:color="auto"/>
        <w:right w:val="none" w:sz="4" w:space="0" w:color="auto"/>
        <w:between w:val="none" w:sz="4" w:space="0" w:color="auto"/>
        <w:bar w:val="none" w:sz="4" w:color="auto"/>
      </w:pBdr>
      <w:spacing w:after="200" w:line="276" w:lineRule="auto"/>
    </w:pPr>
    <w:rPr>
      <w:rFonts w:asci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2C661A"/>
    <w:pPr>
      <w:spacing w:after="0" w:line="240" w:lineRule="auto"/>
    </w:pPr>
    <w:rPr>
      <w:rFonts w:ascii="Tahoma"/>
      <w:sz w:val="16"/>
    </w:rPr>
  </w:style>
  <w:style w:type="character" w:customStyle="1" w:styleId="TextedebullesCar">
    <w:name w:val="Texte de bulles Car"/>
    <w:basedOn w:val="Policepardfaut"/>
    <w:link w:val="Textedebulles"/>
    <w:hidden/>
    <w:uiPriority w:val="99"/>
    <w:semiHidden/>
    <w:rsid w:val="002C661A"/>
    <w:rPr>
      <w:rFonts w:ascii="Tahoma"/>
      <w:sz w:val="16"/>
    </w:rPr>
  </w:style>
  <w:style w:type="paragraph" w:customStyle="1" w:styleId="Header">
    <w:name w:val="Header"/>
    <w:basedOn w:val="Normal"/>
    <w:link w:val="En-tteCar"/>
    <w:uiPriority w:val="99"/>
    <w:semiHidden/>
    <w:rsid w:val="002C661A"/>
    <w:pPr>
      <w:tabs>
        <w:tab w:val="center" w:pos="4536"/>
        <w:tab w:val="right" w:pos="9072"/>
      </w:tabs>
      <w:spacing w:after="0" w:line="240" w:lineRule="auto"/>
    </w:pPr>
  </w:style>
  <w:style w:type="character" w:customStyle="1" w:styleId="En-tteCar">
    <w:name w:val="En-tête Car"/>
    <w:basedOn w:val="Policepardfaut"/>
    <w:link w:val="Header"/>
    <w:hidden/>
    <w:uiPriority w:val="99"/>
    <w:semiHidden/>
    <w:rsid w:val="002C661A"/>
  </w:style>
  <w:style w:type="paragraph" w:customStyle="1" w:styleId="Footer">
    <w:name w:val="Footer"/>
    <w:basedOn w:val="Normal"/>
    <w:link w:val="PieddepageCar"/>
    <w:uiPriority w:val="99"/>
    <w:semiHidden/>
    <w:rsid w:val="002C661A"/>
    <w:pPr>
      <w:tabs>
        <w:tab w:val="center" w:pos="4536"/>
        <w:tab w:val="right" w:pos="9072"/>
      </w:tabs>
      <w:spacing w:after="0" w:line="240" w:lineRule="auto"/>
    </w:pPr>
  </w:style>
  <w:style w:type="character" w:customStyle="1" w:styleId="PieddepageCar">
    <w:name w:val="Pied de page Car"/>
    <w:basedOn w:val="Policepardfaut"/>
    <w:link w:val="Footer"/>
    <w:hidden/>
    <w:uiPriority w:val="99"/>
    <w:semiHidden/>
    <w:rsid w:val="002C661A"/>
  </w:style>
  <w:style w:type="character" w:customStyle="1" w:styleId="Textecourant">
    <w:name w:val="Textecourant"/>
    <w:basedOn w:val="Policepardfaut"/>
    <w:rsid w:val="002C661A"/>
  </w:style>
  <w:style w:type="character" w:customStyle="1" w:styleId="Texteimportant">
    <w:name w:val="Texteimportant"/>
    <w:basedOn w:val="Policepardfaut"/>
    <w:rsid w:val="002C661A"/>
  </w:style>
  <w:style w:type="character" w:customStyle="1" w:styleId="Heading7Char">
    <w:name w:val="Heading 7 Char"/>
    <w:basedOn w:val="Policepardfaut"/>
    <w:link w:val="Heading7"/>
    <w:uiPriority w:val="9"/>
    <w:rsid w:val="002C661A"/>
    <w:rPr>
      <w:rFonts w:asciiTheme="majorHAnsi" w:eastAsiaTheme="majorEastAsia" w:hAnsiTheme="majorHAnsi" w:cstheme="majorBidi"/>
      <w:i/>
      <w:color w:val="404040"/>
    </w:rPr>
  </w:style>
  <w:style w:type="character" w:customStyle="1" w:styleId="Heading4Char">
    <w:name w:val="Heading 4 Char"/>
    <w:basedOn w:val="Policepardfaut"/>
    <w:link w:val="Heading4"/>
    <w:uiPriority w:val="9"/>
    <w:rsid w:val="002C661A"/>
    <w:rPr>
      <w:rFonts w:asciiTheme="majorHAnsi" w:eastAsiaTheme="majorEastAsia" w:hAnsiTheme="majorHAnsi" w:cstheme="majorBidi"/>
      <w:b/>
      <w:i/>
      <w:color w:val="4F81BD"/>
    </w:rPr>
  </w:style>
  <w:style w:type="character" w:customStyle="1" w:styleId="CitationCar">
    <w:name w:val="Citation Car"/>
    <w:basedOn w:val="Policepardfaut"/>
    <w:link w:val="Citation"/>
    <w:uiPriority w:val="29"/>
    <w:rsid w:val="002C661A"/>
    <w:rPr>
      <w:i/>
      <w:color w:val="000000"/>
    </w:rPr>
  </w:style>
  <w:style w:type="paragraph" w:styleId="Textebrut">
    <w:name w:val="Plain Text"/>
    <w:basedOn w:val="Normal"/>
    <w:link w:val="TextebrutCar"/>
    <w:uiPriority w:val="99"/>
    <w:semiHidden/>
    <w:unhideWhenUsed/>
    <w:rsid w:val="002C661A"/>
    <w:pPr>
      <w:spacing w:after="0" w:line="240" w:lineRule="auto"/>
    </w:pPr>
    <w:rPr>
      <w:rFonts w:ascii="Courier New" w:hAnsi="Courier New" w:cs="Courier New"/>
      <w:sz w:val="21"/>
    </w:rPr>
  </w:style>
  <w:style w:type="paragraph" w:customStyle="1" w:styleId="Footnotetext">
    <w:name w:val="Footnote text"/>
    <w:basedOn w:val="Normal"/>
    <w:link w:val="FootnoteTextChar"/>
    <w:uiPriority w:val="99"/>
    <w:semiHidden/>
    <w:unhideWhenUsed/>
    <w:rsid w:val="002C661A"/>
    <w:pPr>
      <w:spacing w:after="0" w:line="240" w:lineRule="auto"/>
    </w:pPr>
    <w:rPr>
      <w:sz w:val="20"/>
    </w:rPr>
  </w:style>
  <w:style w:type="paragraph" w:styleId="Citation">
    <w:name w:val="Quote"/>
    <w:basedOn w:val="Normal"/>
    <w:next w:val="Normal"/>
    <w:link w:val="CitationCar"/>
    <w:uiPriority w:val="29"/>
    <w:qFormat/>
    <w:rsid w:val="002C661A"/>
    <w:rPr>
      <w:i/>
      <w:color w:val="000000"/>
    </w:rPr>
  </w:style>
  <w:style w:type="character" w:customStyle="1" w:styleId="Footnotereference">
    <w:name w:val="Footnote reference"/>
    <w:basedOn w:val="Policepardfaut"/>
    <w:uiPriority w:val="99"/>
    <w:semiHidden/>
    <w:unhideWhenUsed/>
    <w:rsid w:val="002C661A"/>
    <w:rPr>
      <w:vertAlign w:val="superscript"/>
    </w:rPr>
  </w:style>
  <w:style w:type="character" w:customStyle="1" w:styleId="Heading1Char">
    <w:name w:val="Heading 1 Char"/>
    <w:basedOn w:val="Policepardfaut"/>
    <w:link w:val="Heading1"/>
    <w:uiPriority w:val="9"/>
    <w:rsid w:val="002C661A"/>
    <w:rPr>
      <w:rFonts w:asciiTheme="majorHAnsi" w:eastAsiaTheme="majorEastAsia" w:hAnsiTheme="majorHAnsi" w:cstheme="majorBidi"/>
      <w:b/>
      <w:color w:val="365F91"/>
      <w:sz w:val="28"/>
    </w:rPr>
  </w:style>
  <w:style w:type="paragraph" w:styleId="Sous-titre">
    <w:name w:val="Subtitle"/>
    <w:basedOn w:val="Normal"/>
    <w:next w:val="Normal"/>
    <w:link w:val="Sous-titreCar"/>
    <w:uiPriority w:val="11"/>
    <w:qFormat/>
    <w:rsid w:val="002C661A"/>
    <w:rPr>
      <w:rFonts w:asciiTheme="majorHAnsi" w:eastAsiaTheme="majorEastAsia" w:hAnsiTheme="majorHAnsi" w:cstheme="majorBidi"/>
      <w:i/>
      <w:color w:val="4F81BD"/>
      <w:spacing w:val="15"/>
      <w:sz w:val="24"/>
    </w:rPr>
  </w:style>
  <w:style w:type="character" w:customStyle="1" w:styleId="EndnoteTextChar">
    <w:name w:val="Endnote Text Char"/>
    <w:basedOn w:val="Policepardfaut"/>
    <w:link w:val="Endnotetext"/>
    <w:uiPriority w:val="99"/>
    <w:semiHidden/>
    <w:rsid w:val="002C661A"/>
    <w:rPr>
      <w:sz w:val="20"/>
    </w:rPr>
  </w:style>
  <w:style w:type="character" w:customStyle="1" w:styleId="Heading3Char">
    <w:name w:val="Heading 3 Char"/>
    <w:basedOn w:val="Policepardfaut"/>
    <w:link w:val="Heading3"/>
    <w:uiPriority w:val="9"/>
    <w:rsid w:val="002C661A"/>
    <w:rPr>
      <w:rFonts w:asciiTheme="majorHAnsi" w:eastAsiaTheme="majorEastAsia" w:hAnsiTheme="majorHAnsi" w:cstheme="majorBidi"/>
      <w:b/>
      <w:color w:val="4F81BD"/>
    </w:rPr>
  </w:style>
  <w:style w:type="character" w:customStyle="1" w:styleId="TitreCar">
    <w:name w:val="Titre Car"/>
    <w:basedOn w:val="Policepardfaut"/>
    <w:link w:val="Titre"/>
    <w:uiPriority w:val="10"/>
    <w:rsid w:val="002C661A"/>
    <w:rPr>
      <w:rFonts w:asciiTheme="majorHAnsi" w:eastAsiaTheme="majorEastAsia" w:hAnsiTheme="majorHAnsi" w:cstheme="majorBidi"/>
      <w:color w:val="17365D"/>
      <w:spacing w:val="5"/>
      <w:sz w:val="52"/>
    </w:rPr>
  </w:style>
  <w:style w:type="character" w:customStyle="1" w:styleId="Sous-titreCar">
    <w:name w:val="Sous-titre Car"/>
    <w:basedOn w:val="Policepardfaut"/>
    <w:link w:val="Sous-titre"/>
    <w:uiPriority w:val="11"/>
    <w:rsid w:val="002C661A"/>
    <w:rPr>
      <w:rFonts w:asciiTheme="majorHAnsi" w:eastAsiaTheme="majorEastAsia" w:hAnsiTheme="majorHAnsi" w:cstheme="majorBidi"/>
      <w:i/>
      <w:color w:val="4F81BD"/>
      <w:spacing w:val="15"/>
      <w:sz w:val="24"/>
    </w:rPr>
  </w:style>
  <w:style w:type="character" w:styleId="lev">
    <w:name w:val="Strong"/>
    <w:basedOn w:val="Policepardfaut"/>
    <w:uiPriority w:val="22"/>
    <w:qFormat/>
    <w:rsid w:val="002C661A"/>
    <w:rPr>
      <w:b/>
    </w:rPr>
  </w:style>
  <w:style w:type="character" w:customStyle="1" w:styleId="Endnotereference">
    <w:name w:val="Endnote reference"/>
    <w:basedOn w:val="Policepardfaut"/>
    <w:uiPriority w:val="99"/>
    <w:semiHidden/>
    <w:unhideWhenUsed/>
    <w:rsid w:val="002C661A"/>
    <w:rPr>
      <w:vertAlign w:val="superscript"/>
    </w:rPr>
  </w:style>
  <w:style w:type="paragraph" w:customStyle="1" w:styleId="Endnotetext">
    <w:name w:val="Endnote text"/>
    <w:basedOn w:val="Normal"/>
    <w:link w:val="EndnoteTextChar"/>
    <w:uiPriority w:val="99"/>
    <w:semiHidden/>
    <w:unhideWhenUsed/>
    <w:rsid w:val="002C661A"/>
    <w:pPr>
      <w:spacing w:after="0" w:line="240" w:lineRule="auto"/>
    </w:pPr>
    <w:rPr>
      <w:sz w:val="20"/>
    </w:rPr>
  </w:style>
  <w:style w:type="character" w:styleId="Rfrenceple">
    <w:name w:val="Subtle Reference"/>
    <w:basedOn w:val="Policepardfaut"/>
    <w:uiPriority w:val="31"/>
    <w:qFormat/>
    <w:rsid w:val="002C661A"/>
    <w:rPr>
      <w:smallCaps/>
      <w:color w:val="C0504D"/>
      <w:u w:val="single"/>
    </w:rPr>
  </w:style>
  <w:style w:type="paragraph" w:customStyle="1" w:styleId="Heading6">
    <w:name w:val="Heading 6"/>
    <w:basedOn w:val="Normal"/>
    <w:next w:val="Normal"/>
    <w:link w:val="Heading6Char"/>
    <w:uiPriority w:val="9"/>
    <w:semiHidden/>
    <w:unhideWhenUsed/>
    <w:qFormat/>
    <w:rsid w:val="002C661A"/>
    <w:pPr>
      <w:keepNext/>
      <w:keepLines/>
      <w:spacing w:before="200" w:after="0"/>
    </w:pPr>
    <w:rPr>
      <w:rFonts w:asciiTheme="majorHAnsi" w:eastAsiaTheme="majorEastAsia" w:hAnsiTheme="majorHAnsi" w:cstheme="majorBidi"/>
      <w:i/>
      <w:color w:val="243F60"/>
    </w:rPr>
  </w:style>
  <w:style w:type="character" w:customStyle="1" w:styleId="Heading8Char">
    <w:name w:val="Heading 8 Char"/>
    <w:basedOn w:val="Policepardfaut"/>
    <w:link w:val="Heading8"/>
    <w:uiPriority w:val="9"/>
    <w:rsid w:val="002C661A"/>
    <w:rPr>
      <w:rFonts w:asciiTheme="majorHAnsi" w:eastAsiaTheme="majorEastAsia" w:hAnsiTheme="majorHAnsi" w:cstheme="majorBidi"/>
      <w:color w:val="404040"/>
      <w:sz w:val="20"/>
    </w:rPr>
  </w:style>
  <w:style w:type="character" w:customStyle="1" w:styleId="Heading2Char">
    <w:name w:val="Heading 2 Char"/>
    <w:basedOn w:val="Policepardfaut"/>
    <w:link w:val="Heading2"/>
    <w:uiPriority w:val="9"/>
    <w:rsid w:val="002C661A"/>
    <w:rPr>
      <w:rFonts w:asciiTheme="majorHAnsi" w:eastAsiaTheme="majorEastAsia" w:hAnsiTheme="majorHAnsi" w:cstheme="majorBidi"/>
      <w:b/>
      <w:color w:val="4F81BD"/>
      <w:sz w:val="26"/>
    </w:rPr>
  </w:style>
  <w:style w:type="paragraph" w:styleId="Paragraphedeliste">
    <w:name w:val="List Paragraph"/>
    <w:basedOn w:val="Normal"/>
    <w:uiPriority w:val="34"/>
    <w:qFormat/>
    <w:rsid w:val="002C661A"/>
    <w:pPr>
      <w:ind w:left="720"/>
      <w:contextualSpacing/>
    </w:pPr>
  </w:style>
  <w:style w:type="character" w:customStyle="1" w:styleId="Heading9Char">
    <w:name w:val="Heading 9 Char"/>
    <w:basedOn w:val="Policepardfaut"/>
    <w:link w:val="Heading9"/>
    <w:uiPriority w:val="9"/>
    <w:rsid w:val="002C661A"/>
    <w:rPr>
      <w:rFonts w:asciiTheme="majorHAnsi" w:eastAsiaTheme="majorEastAsia" w:hAnsiTheme="majorHAnsi" w:cstheme="majorBidi"/>
      <w:i/>
      <w:color w:val="404040"/>
      <w:sz w:val="20"/>
    </w:rPr>
  </w:style>
  <w:style w:type="character" w:styleId="Emphaseintense">
    <w:name w:val="Intense Emphasis"/>
    <w:basedOn w:val="Policepardfaut"/>
    <w:uiPriority w:val="21"/>
    <w:qFormat/>
    <w:rsid w:val="002C661A"/>
    <w:rPr>
      <w:b/>
      <w:i/>
      <w:color w:val="4F81BD"/>
    </w:rPr>
  </w:style>
  <w:style w:type="paragraph" w:customStyle="1" w:styleId="Heading4">
    <w:name w:val="Heading 4"/>
    <w:basedOn w:val="Normal"/>
    <w:next w:val="Normal"/>
    <w:link w:val="Heading4Char"/>
    <w:uiPriority w:val="9"/>
    <w:semiHidden/>
    <w:unhideWhenUsed/>
    <w:qFormat/>
    <w:rsid w:val="002C661A"/>
    <w:pPr>
      <w:keepNext/>
      <w:keepLines/>
      <w:spacing w:before="200" w:after="0"/>
    </w:pPr>
    <w:rPr>
      <w:rFonts w:asciiTheme="majorHAnsi" w:eastAsiaTheme="majorEastAsia" w:hAnsiTheme="majorHAnsi" w:cstheme="majorBidi"/>
      <w:b/>
      <w:i/>
      <w:color w:val="4F81BD"/>
    </w:rPr>
  </w:style>
  <w:style w:type="character" w:customStyle="1" w:styleId="FootnoteTextChar">
    <w:name w:val="Footnote Text Char"/>
    <w:basedOn w:val="Policepardfaut"/>
    <w:link w:val="Footnotetext"/>
    <w:uiPriority w:val="99"/>
    <w:semiHidden/>
    <w:rsid w:val="002C661A"/>
    <w:rPr>
      <w:sz w:val="20"/>
    </w:rPr>
  </w:style>
  <w:style w:type="character" w:customStyle="1" w:styleId="CitationintenseCar">
    <w:name w:val="Citation intense Car"/>
    <w:basedOn w:val="Policepardfaut"/>
    <w:link w:val="Citationintense"/>
    <w:uiPriority w:val="30"/>
    <w:rsid w:val="002C661A"/>
    <w:rPr>
      <w:b/>
      <w:i/>
      <w:color w:val="4F81BD"/>
    </w:rPr>
  </w:style>
  <w:style w:type="character" w:styleId="Lienhypertexte">
    <w:name w:val="Hyperlink"/>
    <w:basedOn w:val="Policepardfaut"/>
    <w:uiPriority w:val="99"/>
    <w:unhideWhenUsed/>
    <w:rsid w:val="002C661A"/>
    <w:rPr>
      <w:color w:val="0000FF"/>
      <w:u w:val="single"/>
    </w:rPr>
  </w:style>
  <w:style w:type="paragraph" w:customStyle="1" w:styleId="Heading7">
    <w:name w:val="Heading 7"/>
    <w:basedOn w:val="Normal"/>
    <w:next w:val="Normal"/>
    <w:link w:val="Heading7Char"/>
    <w:uiPriority w:val="9"/>
    <w:semiHidden/>
    <w:unhideWhenUsed/>
    <w:qFormat/>
    <w:rsid w:val="002C661A"/>
    <w:pPr>
      <w:keepNext/>
      <w:keepLines/>
      <w:spacing w:before="200" w:after="0"/>
    </w:pPr>
    <w:rPr>
      <w:rFonts w:asciiTheme="majorHAnsi" w:eastAsiaTheme="majorEastAsia" w:hAnsiTheme="majorHAnsi" w:cstheme="majorBidi"/>
      <w:i/>
      <w:color w:val="404040"/>
    </w:rPr>
  </w:style>
  <w:style w:type="paragraph" w:customStyle="1" w:styleId="Heading8">
    <w:name w:val="Heading 8"/>
    <w:basedOn w:val="Normal"/>
    <w:next w:val="Normal"/>
    <w:link w:val="Heading8Char"/>
    <w:uiPriority w:val="9"/>
    <w:semiHidden/>
    <w:unhideWhenUsed/>
    <w:qFormat/>
    <w:rsid w:val="002C661A"/>
    <w:pPr>
      <w:keepNext/>
      <w:keepLines/>
      <w:spacing w:before="200" w:after="0"/>
    </w:pPr>
    <w:rPr>
      <w:rFonts w:asciiTheme="majorHAnsi" w:eastAsiaTheme="majorEastAsia" w:hAnsiTheme="majorHAnsi" w:cstheme="majorBidi"/>
      <w:color w:val="404040"/>
      <w:sz w:val="20"/>
    </w:rPr>
  </w:style>
  <w:style w:type="character" w:customStyle="1" w:styleId="Heading6Char">
    <w:name w:val="Heading 6 Char"/>
    <w:basedOn w:val="Policepardfaut"/>
    <w:link w:val="Heading6"/>
    <w:uiPriority w:val="9"/>
    <w:rsid w:val="002C661A"/>
    <w:rPr>
      <w:rFonts w:asciiTheme="majorHAnsi" w:eastAsiaTheme="majorEastAsia" w:hAnsiTheme="majorHAnsi" w:cstheme="majorBidi"/>
      <w:i/>
      <w:color w:val="243F60"/>
    </w:rPr>
  </w:style>
  <w:style w:type="character" w:styleId="Rfrenceintense">
    <w:name w:val="Intense Reference"/>
    <w:basedOn w:val="Policepardfaut"/>
    <w:uiPriority w:val="32"/>
    <w:qFormat/>
    <w:rsid w:val="002C661A"/>
    <w:rPr>
      <w:b/>
      <w:smallCaps/>
      <w:color w:val="C0504D"/>
      <w:spacing w:val="5"/>
      <w:u w:val="single"/>
    </w:rPr>
  </w:style>
  <w:style w:type="paragraph" w:customStyle="1" w:styleId="Heading5">
    <w:name w:val="Heading 5"/>
    <w:basedOn w:val="Normal"/>
    <w:next w:val="Normal"/>
    <w:link w:val="Heading5Char"/>
    <w:uiPriority w:val="9"/>
    <w:semiHidden/>
    <w:unhideWhenUsed/>
    <w:qFormat/>
    <w:rsid w:val="002C661A"/>
    <w:pPr>
      <w:keepNext/>
      <w:keepLines/>
      <w:spacing w:before="200" w:after="0"/>
    </w:pPr>
    <w:rPr>
      <w:rFonts w:asciiTheme="majorHAnsi" w:eastAsiaTheme="majorEastAsia" w:hAnsiTheme="majorHAnsi" w:cstheme="majorBidi"/>
      <w:color w:val="243F60"/>
    </w:rPr>
  </w:style>
  <w:style w:type="paragraph" w:styleId="Sansinterligne">
    <w:name w:val="No Spacing"/>
    <w:uiPriority w:val="1"/>
    <w:qFormat/>
    <w:rsid w:val="002C661A"/>
  </w:style>
  <w:style w:type="paragraph" w:customStyle="1" w:styleId="Heading1">
    <w:name w:val="Heading 1"/>
    <w:basedOn w:val="Normal"/>
    <w:next w:val="Normal"/>
    <w:link w:val="Heading1Char"/>
    <w:uiPriority w:val="9"/>
    <w:qFormat/>
    <w:rsid w:val="002C661A"/>
    <w:pPr>
      <w:keepNext/>
      <w:keepLines/>
      <w:spacing w:before="480" w:after="0"/>
    </w:pPr>
    <w:rPr>
      <w:rFonts w:asciiTheme="majorHAnsi" w:eastAsiaTheme="majorEastAsia" w:hAnsiTheme="majorHAnsi" w:cstheme="majorBidi"/>
      <w:b/>
      <w:color w:val="365F91"/>
      <w:sz w:val="28"/>
    </w:rPr>
  </w:style>
  <w:style w:type="paragraph" w:customStyle="1" w:styleId="Heading2">
    <w:name w:val="Heading 2"/>
    <w:basedOn w:val="Normal"/>
    <w:next w:val="Normal"/>
    <w:link w:val="Heading2Char"/>
    <w:uiPriority w:val="9"/>
    <w:semiHidden/>
    <w:unhideWhenUsed/>
    <w:qFormat/>
    <w:rsid w:val="002C661A"/>
    <w:pPr>
      <w:keepNext/>
      <w:keepLines/>
      <w:spacing w:before="200" w:after="0"/>
    </w:pPr>
    <w:rPr>
      <w:rFonts w:asciiTheme="majorHAnsi" w:eastAsiaTheme="majorEastAsia" w:hAnsiTheme="majorHAnsi" w:cstheme="majorBidi"/>
      <w:b/>
      <w:color w:val="4F81BD"/>
      <w:sz w:val="26"/>
    </w:rPr>
  </w:style>
  <w:style w:type="character" w:styleId="Accentuation">
    <w:name w:val="Emphasis"/>
    <w:basedOn w:val="Policepardfaut"/>
    <w:uiPriority w:val="20"/>
    <w:qFormat/>
    <w:rsid w:val="002C661A"/>
    <w:rPr>
      <w:i/>
    </w:rPr>
  </w:style>
  <w:style w:type="character" w:styleId="Titredulivre">
    <w:name w:val="Book Title"/>
    <w:basedOn w:val="Policepardfaut"/>
    <w:uiPriority w:val="33"/>
    <w:qFormat/>
    <w:rsid w:val="002C661A"/>
    <w:rPr>
      <w:b/>
      <w:smallCaps/>
      <w:spacing w:val="5"/>
    </w:rPr>
  </w:style>
  <w:style w:type="paragraph" w:styleId="Titre">
    <w:name w:val="Title"/>
    <w:basedOn w:val="Normal"/>
    <w:next w:val="Normal"/>
    <w:link w:val="TitreCar"/>
    <w:uiPriority w:val="10"/>
    <w:qFormat/>
    <w:rsid w:val="002C661A"/>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customStyle="1" w:styleId="Heading3">
    <w:name w:val="Heading 3"/>
    <w:basedOn w:val="Normal"/>
    <w:next w:val="Normal"/>
    <w:link w:val="Heading3Char"/>
    <w:uiPriority w:val="9"/>
    <w:semiHidden/>
    <w:unhideWhenUsed/>
    <w:qFormat/>
    <w:rsid w:val="002C661A"/>
    <w:pPr>
      <w:keepNext/>
      <w:keepLines/>
      <w:spacing w:before="200" w:after="0"/>
    </w:pPr>
    <w:rPr>
      <w:rFonts w:asciiTheme="majorHAnsi" w:eastAsiaTheme="majorEastAsia" w:hAnsiTheme="majorHAnsi" w:cstheme="majorBidi"/>
      <w:b/>
      <w:color w:val="4F81BD"/>
    </w:rPr>
  </w:style>
  <w:style w:type="character" w:customStyle="1" w:styleId="Heading5Char">
    <w:name w:val="Heading 5 Char"/>
    <w:basedOn w:val="Policepardfaut"/>
    <w:link w:val="Heading5"/>
    <w:uiPriority w:val="9"/>
    <w:rsid w:val="002C661A"/>
    <w:rPr>
      <w:rFonts w:asciiTheme="majorHAnsi" w:eastAsiaTheme="majorEastAsia" w:hAnsiTheme="majorHAnsi" w:cstheme="majorBidi"/>
      <w:color w:val="243F60"/>
    </w:rPr>
  </w:style>
  <w:style w:type="paragraph" w:styleId="Citationintense">
    <w:name w:val="Intense Quote"/>
    <w:basedOn w:val="Normal"/>
    <w:next w:val="Normal"/>
    <w:link w:val="CitationintenseCar"/>
    <w:uiPriority w:val="30"/>
    <w:qFormat/>
    <w:rsid w:val="002C661A"/>
    <w:pPr>
      <w:pBdr>
        <w:bottom w:val="single" w:sz="4" w:space="0" w:color="4F81BD"/>
      </w:pBdr>
      <w:spacing w:before="200" w:after="280"/>
      <w:ind w:left="936" w:right="936"/>
    </w:pPr>
    <w:rPr>
      <w:b/>
      <w:i/>
      <w:color w:val="4F81BD"/>
    </w:rPr>
  </w:style>
  <w:style w:type="paragraph" w:customStyle="1" w:styleId="Heading9">
    <w:name w:val="Heading 9"/>
    <w:basedOn w:val="Normal"/>
    <w:next w:val="Normal"/>
    <w:link w:val="Heading9Char"/>
    <w:uiPriority w:val="9"/>
    <w:semiHidden/>
    <w:unhideWhenUsed/>
    <w:qFormat/>
    <w:rsid w:val="002C661A"/>
    <w:pPr>
      <w:keepNext/>
      <w:keepLines/>
      <w:spacing w:before="200" w:after="0"/>
    </w:pPr>
    <w:rPr>
      <w:rFonts w:asciiTheme="majorHAnsi" w:eastAsiaTheme="majorEastAsia" w:hAnsiTheme="majorHAnsi" w:cstheme="majorBidi"/>
      <w:i/>
      <w:color w:val="404040"/>
      <w:sz w:val="20"/>
    </w:rPr>
  </w:style>
  <w:style w:type="character" w:customStyle="1" w:styleId="TextebrutCar">
    <w:name w:val="Texte brut Car"/>
    <w:basedOn w:val="Policepardfaut"/>
    <w:link w:val="Textebrut"/>
    <w:uiPriority w:val="99"/>
    <w:rsid w:val="002C661A"/>
    <w:rPr>
      <w:rFonts w:ascii="Courier New" w:hAnsi="Courier New" w:cs="Courier New"/>
      <w:sz w:val="21"/>
    </w:rPr>
  </w:style>
  <w:style w:type="character" w:styleId="Emphaseple">
    <w:name w:val="Subtle Emphasis"/>
    <w:basedOn w:val="Policepardfaut"/>
    <w:uiPriority w:val="19"/>
    <w:qFormat/>
    <w:rsid w:val="002C661A"/>
    <w:rPr>
      <w:i/>
      <w:color w:val="808080"/>
    </w:rPr>
  </w:style>
  <w:style w:type="table" w:styleId="Grilledutableau">
    <w:name w:val="Table Grid"/>
    <w:basedOn w:val="TableauNormal"/>
    <w:uiPriority w:val="59"/>
    <w:rsid w:val="00EF17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1"/>
    <w:uiPriority w:val="99"/>
    <w:semiHidden/>
    <w:unhideWhenUsed/>
    <w:rsid w:val="00B52B5B"/>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B52B5B"/>
    <w:rPr>
      <w:rFonts w:ascii="Calibri"/>
      <w:sz w:val="22"/>
    </w:rPr>
  </w:style>
  <w:style w:type="paragraph" w:styleId="Pieddepage">
    <w:name w:val="footer"/>
    <w:basedOn w:val="Normal"/>
    <w:link w:val="PieddepageCar1"/>
    <w:uiPriority w:val="99"/>
    <w:semiHidden/>
    <w:unhideWhenUsed/>
    <w:rsid w:val="00B52B5B"/>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B52B5B"/>
    <w:rPr>
      <w:rFonts w:ascii="Calibri"/>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Pages>
  <Words>1849</Words>
  <Characters>10171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amazingsouma</dc:creator>
  <cp:lastModifiedBy>pc</cp:lastModifiedBy>
  <cp:revision>13</cp:revision>
  <dcterms:created xsi:type="dcterms:W3CDTF">2020-03-22T08:18:00Z</dcterms:created>
  <dcterms:modified xsi:type="dcterms:W3CDTF">2025-02-14T10:28:00Z</dcterms:modified>
</cp:coreProperties>
</file>