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48B" w:rsidRPr="00C41886" w:rsidRDefault="002B448B" w:rsidP="002B448B">
      <w:pPr>
        <w:tabs>
          <w:tab w:val="left" w:pos="3203"/>
        </w:tabs>
        <w:spacing w:after="0"/>
        <w:jc w:val="center"/>
        <w:rPr>
          <w:rFonts w:ascii="Sakkal Majalla" w:hAnsi="Sakkal Majalla" w:cs="Sakkal Majalla"/>
          <w:b/>
          <w:bCs/>
          <w:sz w:val="40"/>
          <w:szCs w:val="40"/>
          <w:rtl/>
        </w:rPr>
      </w:pPr>
      <w:r w:rsidRPr="00C41886">
        <w:rPr>
          <w:rFonts w:ascii="Sakkal Majalla" w:hAnsi="Sakkal Majalla" w:cs="Sakkal Majalla"/>
          <w:b/>
          <w:bCs/>
          <w:sz w:val="40"/>
          <w:szCs w:val="40"/>
          <w:rtl/>
        </w:rPr>
        <w:t>المحاضرة ال</w:t>
      </w:r>
      <w:r w:rsidR="008439C5">
        <w:rPr>
          <w:rFonts w:ascii="Sakkal Majalla" w:hAnsi="Sakkal Majalla" w:cs="Sakkal Majalla" w:hint="cs"/>
          <w:b/>
          <w:bCs/>
          <w:sz w:val="40"/>
          <w:szCs w:val="40"/>
          <w:rtl/>
        </w:rPr>
        <w:t>تاسعة</w:t>
      </w:r>
    </w:p>
    <w:p w:rsidR="002B448B" w:rsidRPr="00C41886" w:rsidRDefault="002B448B" w:rsidP="002B448B">
      <w:pPr>
        <w:tabs>
          <w:tab w:val="left" w:pos="3203"/>
        </w:tabs>
        <w:spacing w:after="0"/>
        <w:jc w:val="center"/>
        <w:rPr>
          <w:rFonts w:ascii="Sakkal Majalla" w:hAnsi="Sakkal Majalla" w:cs="Sakkal Majalla"/>
          <w:b/>
          <w:bCs/>
          <w:sz w:val="40"/>
          <w:szCs w:val="40"/>
          <w:rtl/>
        </w:rPr>
      </w:pPr>
      <w:r w:rsidRPr="00C41886">
        <w:rPr>
          <w:rFonts w:ascii="Sakkal Majalla" w:hAnsi="Sakkal Majalla" w:cs="Sakkal Majalla" w:hint="cs"/>
          <w:b/>
          <w:bCs/>
          <w:sz w:val="40"/>
          <w:szCs w:val="40"/>
          <w:rtl/>
        </w:rPr>
        <w:t>الإسلام</w:t>
      </w:r>
    </w:p>
    <w:p w:rsidR="002B448B" w:rsidRDefault="002B448B" w:rsidP="002B448B">
      <w:pPr>
        <w:tabs>
          <w:tab w:val="left" w:pos="3203"/>
        </w:tabs>
        <w:spacing w:after="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   </w:t>
      </w:r>
      <w:r w:rsidRPr="005645A9">
        <w:rPr>
          <w:rFonts w:ascii="Simplified Arabic" w:hAnsi="Simplified Arabic" w:cs="Simplified Arabic" w:hint="cs"/>
          <w:sz w:val="32"/>
          <w:szCs w:val="32"/>
          <w:rtl/>
          <w:lang w:val="fr-FR" w:bidi="ar-DZ"/>
        </w:rPr>
        <w:t>لقد كان انتشار الإسلام عاملا أساسيا وحاسما في تشكيل تاريخ العصور الوسطى الأوربية، واتضحت لنا خريطة تقسيم عالم البحر الأبيض المتوسط، إذ برزت ثلاث قوى تميزت كل منهما بحض</w:t>
      </w:r>
      <w:r>
        <w:rPr>
          <w:rFonts w:ascii="Simplified Arabic" w:hAnsi="Simplified Arabic" w:cs="Simplified Arabic" w:hint="cs"/>
          <w:sz w:val="32"/>
          <w:szCs w:val="32"/>
          <w:rtl/>
          <w:lang w:val="fr-FR" w:bidi="ar-DZ"/>
        </w:rPr>
        <w:t xml:space="preserve">ارتها، الإمبراطورية البيزنطية، </w:t>
      </w:r>
      <w:r w:rsidRPr="005645A9">
        <w:rPr>
          <w:rFonts w:ascii="Simplified Arabic" w:hAnsi="Simplified Arabic" w:cs="Simplified Arabic" w:hint="cs"/>
          <w:sz w:val="32"/>
          <w:szCs w:val="32"/>
          <w:rtl/>
          <w:lang w:val="fr-FR" w:bidi="ar-DZ"/>
        </w:rPr>
        <w:t>الخلافة الإسلامية، والكيانات السياسية التي تشكل منها الغرب اللا</w:t>
      </w:r>
      <w:r>
        <w:rPr>
          <w:rFonts w:ascii="Simplified Arabic" w:hAnsi="Simplified Arabic" w:cs="Simplified Arabic" w:hint="cs"/>
          <w:sz w:val="32"/>
          <w:szCs w:val="32"/>
          <w:rtl/>
          <w:lang w:val="fr-FR" w:bidi="ar-DZ"/>
        </w:rPr>
        <w:t>ّ</w:t>
      </w:r>
      <w:r w:rsidRPr="005645A9">
        <w:rPr>
          <w:rFonts w:ascii="Simplified Arabic" w:hAnsi="Simplified Arabic" w:cs="Simplified Arabic" w:hint="cs"/>
          <w:sz w:val="32"/>
          <w:szCs w:val="32"/>
          <w:rtl/>
          <w:lang w:val="fr-FR" w:bidi="ar-DZ"/>
        </w:rPr>
        <w:t>تيني بعد الغزو وخاصة الجرماني</w:t>
      </w:r>
      <w:r>
        <w:rPr>
          <w:rFonts w:ascii="Simplified Arabic" w:hAnsi="Simplified Arabic" w:cs="Simplified Arabic" w:hint="cs"/>
          <w:sz w:val="32"/>
          <w:szCs w:val="32"/>
          <w:rtl/>
          <w:lang w:val="fr-FR" w:bidi="ar-DZ"/>
        </w:rPr>
        <w:t>.</w:t>
      </w:r>
    </w:p>
    <w:p w:rsidR="002B448B" w:rsidRDefault="002B448B" w:rsidP="002B448B">
      <w:pPr>
        <w:tabs>
          <w:tab w:val="left" w:pos="3203"/>
        </w:tabs>
        <w:spacing w:after="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   </w:t>
      </w:r>
      <w:r w:rsidRPr="005645A9">
        <w:rPr>
          <w:rFonts w:ascii="Simplified Arabic" w:hAnsi="Simplified Arabic" w:cs="Simplified Arabic" w:hint="cs"/>
          <w:sz w:val="32"/>
          <w:szCs w:val="32"/>
          <w:rtl/>
          <w:lang w:val="fr-FR" w:bidi="ar-DZ"/>
        </w:rPr>
        <w:t>وشكلت العلاقات بين هذه الأطراف في مختلف مجالات الحياة السياسية والاقتصادية والثقافية والدينية أهم المواضيع في تلك الحقبة</w:t>
      </w:r>
      <w:r w:rsidRPr="005645A9">
        <w:rPr>
          <w:rFonts w:ascii="Simplified Arabic" w:hAnsi="Simplified Arabic" w:cs="Simplified Arabic" w:hint="cs"/>
          <w:b/>
          <w:bCs/>
          <w:sz w:val="32"/>
          <w:szCs w:val="32"/>
          <w:vertAlign w:val="superscript"/>
          <w:rtl/>
          <w:lang w:val="fr-FR" w:bidi="ar-DZ"/>
        </w:rPr>
        <w:t>(</w:t>
      </w:r>
      <w:r w:rsidRPr="005645A9">
        <w:rPr>
          <w:rStyle w:val="a4"/>
          <w:rFonts w:ascii="Simplified Arabic" w:hAnsi="Simplified Arabic" w:cs="Simplified Arabic"/>
          <w:b/>
          <w:bCs/>
          <w:sz w:val="32"/>
          <w:szCs w:val="32"/>
          <w:rtl/>
          <w:lang w:val="fr-FR" w:bidi="ar-DZ"/>
        </w:rPr>
        <w:footnoteReference w:id="2"/>
      </w:r>
      <w:r w:rsidRPr="005645A9">
        <w:rPr>
          <w:rFonts w:ascii="Simplified Arabic" w:hAnsi="Simplified Arabic" w:cs="Simplified Arabic" w:hint="cs"/>
          <w:b/>
          <w:bCs/>
          <w:sz w:val="32"/>
          <w:szCs w:val="32"/>
          <w:vertAlign w:val="superscript"/>
          <w:rtl/>
          <w:lang w:val="fr-FR" w:bidi="ar-DZ"/>
        </w:rPr>
        <w:t>)</w:t>
      </w:r>
      <w:r>
        <w:rPr>
          <w:rFonts w:ascii="Simplified Arabic" w:hAnsi="Simplified Arabic" w:cs="Simplified Arabic" w:hint="cs"/>
          <w:sz w:val="32"/>
          <w:szCs w:val="32"/>
          <w:rtl/>
          <w:lang w:val="fr-FR" w:bidi="ar-DZ"/>
        </w:rPr>
        <w:t>. وباعتبار الإسلام ظاهرة دينية شرقية وحضارية، إلا أنه بالغ الأثر على أوربا في العصور الوسطى، وفي الحقيقة أن اتساع الدولة الإسلامية غربا لم يضم سوى بعض البلدان مثل الأندلس وصقلية وبعض الجزر المتوسطية، ولكن المسلمين وسعوا نفوذهم على حساب المناطق المطلة على البحر الأبيض المتوسط، التي تتوزع عبر قارات العالم القديم مثل بلاد الشام ومصر وشمال إفريقيا. وبهذا احتلت الدولة الإسلامية موقعا استراتيجيا من خلاله انتقل التراث الشرقي إلى الغرب اللاّتيني</w:t>
      </w:r>
      <w:r w:rsidRPr="007F3B14">
        <w:rPr>
          <w:rFonts w:ascii="Simplified Arabic" w:hAnsi="Simplified Arabic" w:cs="Simplified Arabic" w:hint="cs"/>
          <w:b/>
          <w:bCs/>
          <w:sz w:val="32"/>
          <w:szCs w:val="32"/>
          <w:vertAlign w:val="superscript"/>
          <w:rtl/>
          <w:lang w:val="fr-FR" w:bidi="ar-DZ"/>
        </w:rPr>
        <w:t>(</w:t>
      </w:r>
      <w:r w:rsidRPr="007F3B14">
        <w:rPr>
          <w:rStyle w:val="a4"/>
          <w:rFonts w:ascii="Simplified Arabic" w:hAnsi="Simplified Arabic" w:cs="Simplified Arabic"/>
          <w:b/>
          <w:bCs/>
          <w:sz w:val="32"/>
          <w:szCs w:val="32"/>
          <w:rtl/>
          <w:lang w:val="fr-FR" w:bidi="ar-DZ"/>
        </w:rPr>
        <w:footnoteReference w:id="3"/>
      </w:r>
      <w:r w:rsidRPr="007F3B14">
        <w:rPr>
          <w:rFonts w:ascii="Simplified Arabic" w:hAnsi="Simplified Arabic" w:cs="Simplified Arabic" w:hint="cs"/>
          <w:b/>
          <w:bCs/>
          <w:sz w:val="32"/>
          <w:szCs w:val="32"/>
          <w:vertAlign w:val="superscript"/>
          <w:rtl/>
          <w:lang w:val="fr-FR" w:bidi="ar-DZ"/>
        </w:rPr>
        <w:t>)</w:t>
      </w:r>
      <w:r>
        <w:rPr>
          <w:rFonts w:ascii="Simplified Arabic" w:hAnsi="Simplified Arabic" w:cs="Simplified Arabic" w:hint="cs"/>
          <w:sz w:val="32"/>
          <w:szCs w:val="32"/>
          <w:rtl/>
          <w:lang w:val="fr-FR" w:bidi="ar-DZ"/>
        </w:rPr>
        <w:t xml:space="preserve">. </w:t>
      </w:r>
    </w:p>
    <w:p w:rsidR="002B448B" w:rsidRDefault="002B448B" w:rsidP="002B448B">
      <w:pPr>
        <w:tabs>
          <w:tab w:val="left" w:pos="3203"/>
        </w:tabs>
        <w:spacing w:after="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   إذ أن هذا الأخير كان على تواصل مع الشرق، وخاصة الحضارة العربية الإسلامية، وشكلت التجارة رافدا مهما للاطلاع على حركية المجتمع الإسلامي في تلك الفترة، والاستفادة من العلوم والفنون</w:t>
      </w:r>
      <w:r w:rsidRPr="00870137">
        <w:rPr>
          <w:rFonts w:ascii="Simplified Arabic" w:hAnsi="Simplified Arabic" w:cs="Simplified Arabic" w:hint="cs"/>
          <w:b/>
          <w:bCs/>
          <w:sz w:val="32"/>
          <w:szCs w:val="32"/>
          <w:vertAlign w:val="superscript"/>
          <w:rtl/>
          <w:lang w:val="fr-FR" w:bidi="ar-DZ"/>
        </w:rPr>
        <w:t>(</w:t>
      </w:r>
      <w:r w:rsidRPr="00870137">
        <w:rPr>
          <w:rStyle w:val="a4"/>
          <w:rFonts w:ascii="Simplified Arabic" w:hAnsi="Simplified Arabic" w:cs="Simplified Arabic"/>
          <w:b/>
          <w:bCs/>
          <w:sz w:val="32"/>
          <w:szCs w:val="32"/>
          <w:rtl/>
          <w:lang w:val="fr-FR" w:bidi="ar-DZ"/>
        </w:rPr>
        <w:footnoteReference w:id="4"/>
      </w:r>
      <w:r w:rsidRPr="00870137">
        <w:rPr>
          <w:rFonts w:ascii="Simplified Arabic" w:hAnsi="Simplified Arabic" w:cs="Simplified Arabic" w:hint="cs"/>
          <w:b/>
          <w:bCs/>
          <w:sz w:val="32"/>
          <w:szCs w:val="32"/>
          <w:vertAlign w:val="superscript"/>
          <w:rtl/>
          <w:lang w:val="fr-FR" w:bidi="ar-DZ"/>
        </w:rPr>
        <w:t>)</w:t>
      </w:r>
      <w:r>
        <w:rPr>
          <w:rFonts w:ascii="Simplified Arabic" w:hAnsi="Simplified Arabic" w:cs="Simplified Arabic" w:hint="cs"/>
          <w:sz w:val="32"/>
          <w:szCs w:val="32"/>
          <w:rtl/>
          <w:lang w:val="fr-FR" w:bidi="ar-DZ"/>
        </w:rPr>
        <w:t xml:space="preserve">. إن فتوح المسلمين لبلاد الشام ومصر جعلهم يشرفون على سواحل ذات أهمية، يمكنهم من خلالها قطع عبابها للعبور إلى أمصار أخرى ينشرون فيها دين الحق، ولابد لهم من خوض معركة الانتصار، خاصة وأن هذا المجال تمكن البيزنطيون من بسط نفوذهم وسيطرتهم عليه. </w:t>
      </w:r>
    </w:p>
    <w:p w:rsidR="002B448B" w:rsidRDefault="002B448B" w:rsidP="002B448B">
      <w:pPr>
        <w:tabs>
          <w:tab w:val="left" w:pos="3203"/>
        </w:tabs>
        <w:spacing w:after="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lastRenderedPageBreak/>
        <w:t xml:space="preserve">   كما أقاموا في سواحل مصر والشام أسطولا بحريا به تُكسر شوكة كل من خرج عن طاعتهم في مختلف الأقاليم المتوسطية. ولما تمكن المسلمون في مصر والشام أصبحوا يصنعون السفن في السواحل المصرية وترسل إلى سواحل الشام، لتشحن بالعتاد والمقاتلين لمقارعة البيزنطيين نتيجة قرب قواعدهم من الشام، ولما توسعت صناعة السفن في الشام دخل التعاون المصري الشامي دورا جديدا</w:t>
      </w:r>
      <w:r w:rsidRPr="008171EB">
        <w:rPr>
          <w:rFonts w:ascii="Simplified Arabic" w:hAnsi="Simplified Arabic" w:cs="Simplified Arabic" w:hint="cs"/>
          <w:b/>
          <w:bCs/>
          <w:sz w:val="32"/>
          <w:szCs w:val="32"/>
          <w:vertAlign w:val="superscript"/>
          <w:rtl/>
          <w:lang w:val="fr-FR" w:bidi="ar-DZ"/>
        </w:rPr>
        <w:t>(</w:t>
      </w:r>
      <w:r w:rsidRPr="008171EB">
        <w:rPr>
          <w:rStyle w:val="a4"/>
          <w:rFonts w:ascii="Simplified Arabic" w:hAnsi="Simplified Arabic" w:cs="Simplified Arabic"/>
          <w:b/>
          <w:bCs/>
          <w:sz w:val="32"/>
          <w:szCs w:val="32"/>
          <w:rtl/>
          <w:lang w:val="fr-FR" w:bidi="ar-DZ"/>
        </w:rPr>
        <w:footnoteReference w:id="5"/>
      </w:r>
      <w:r w:rsidRPr="008171EB">
        <w:rPr>
          <w:rFonts w:ascii="Simplified Arabic" w:hAnsi="Simplified Arabic" w:cs="Simplified Arabic" w:hint="cs"/>
          <w:b/>
          <w:bCs/>
          <w:sz w:val="32"/>
          <w:szCs w:val="32"/>
          <w:vertAlign w:val="superscript"/>
          <w:rtl/>
          <w:lang w:val="fr-FR" w:bidi="ar-DZ"/>
        </w:rPr>
        <w:t>)</w:t>
      </w:r>
      <w:r>
        <w:rPr>
          <w:rFonts w:ascii="Simplified Arabic" w:hAnsi="Simplified Arabic" w:cs="Simplified Arabic" w:hint="cs"/>
          <w:sz w:val="32"/>
          <w:szCs w:val="32"/>
          <w:rtl/>
          <w:lang w:val="fr-FR" w:bidi="ar-DZ"/>
        </w:rPr>
        <w:t>.</w:t>
      </w:r>
    </w:p>
    <w:p w:rsidR="002B448B" w:rsidRDefault="002B448B" w:rsidP="002B448B">
      <w:pPr>
        <w:tabs>
          <w:tab w:val="left" w:pos="3203"/>
        </w:tabs>
        <w:spacing w:after="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   وقد كُللت أولى المحاولات البحرية للأسطول العربي الإسلامي ضد البيزنطيين في فتح جزيرة قبرص التي تتميز بموقعها الممتاز سنة 654م/33ه، فكان لهم أن يخوضوا غيرها ليتمكنوا من السيطرة على حوض المتوسط، لتأتي معركة ذات الصواري  سنة655م/34ه التي قصمت ظهر الروم وأعطت الأولوية للمسلمين في البحر، وبهذا يمكنهم من مواجهة البيزنطيين مرة أخرى في عقر دارهم، وحصار القسطنطينية ومحاولات فتحها، بدءا من سنة 669م/48ه، إلى غاية سنة715م/99ه. </w:t>
      </w:r>
    </w:p>
    <w:p w:rsidR="002B448B" w:rsidRDefault="002B448B" w:rsidP="002B448B">
      <w:pPr>
        <w:tabs>
          <w:tab w:val="left" w:pos="3203"/>
        </w:tabs>
        <w:spacing w:after="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   ونتيجة لتركز القوة البحرية البيزنطية في الشرق للدفاع عن العاصمة، تمكن المسلمون من بناء قاعدتهم في شمال إفريقيا، التي أصبحت ركيزة للسيادة العربية الإسلامية في غرب حوض المتوسط</w:t>
      </w:r>
      <w:r w:rsidRPr="00E2025E">
        <w:rPr>
          <w:rFonts w:ascii="Simplified Arabic" w:hAnsi="Simplified Arabic" w:cs="Simplified Arabic" w:hint="cs"/>
          <w:b/>
          <w:bCs/>
          <w:sz w:val="32"/>
          <w:szCs w:val="32"/>
          <w:vertAlign w:val="superscript"/>
          <w:rtl/>
          <w:lang w:val="fr-FR" w:bidi="ar-DZ"/>
        </w:rPr>
        <w:t>(</w:t>
      </w:r>
      <w:r w:rsidRPr="00E2025E">
        <w:rPr>
          <w:rStyle w:val="a4"/>
          <w:rFonts w:ascii="Simplified Arabic" w:hAnsi="Simplified Arabic" w:cs="Simplified Arabic"/>
          <w:b/>
          <w:bCs/>
          <w:sz w:val="32"/>
          <w:szCs w:val="32"/>
          <w:rtl/>
          <w:lang w:val="fr-FR" w:bidi="ar-DZ"/>
        </w:rPr>
        <w:footnoteReference w:id="6"/>
      </w:r>
      <w:r w:rsidRPr="00E2025E">
        <w:rPr>
          <w:rFonts w:ascii="Simplified Arabic" w:hAnsi="Simplified Arabic" w:cs="Simplified Arabic" w:hint="cs"/>
          <w:b/>
          <w:bCs/>
          <w:sz w:val="32"/>
          <w:szCs w:val="32"/>
          <w:vertAlign w:val="superscript"/>
          <w:rtl/>
          <w:lang w:val="fr-FR" w:bidi="ar-DZ"/>
        </w:rPr>
        <w:t>)</w:t>
      </w:r>
      <w:r>
        <w:rPr>
          <w:rFonts w:ascii="Simplified Arabic" w:hAnsi="Simplified Arabic" w:cs="Simplified Arabic" w:hint="cs"/>
          <w:sz w:val="32"/>
          <w:szCs w:val="32"/>
          <w:rtl/>
          <w:lang w:val="fr-FR" w:bidi="ar-DZ"/>
        </w:rPr>
        <w:t xml:space="preserve">. </w:t>
      </w:r>
      <w:r w:rsidRPr="00A67A4E">
        <w:rPr>
          <w:rFonts w:ascii="Simplified Arabic" w:hAnsi="Simplified Arabic" w:cs="Simplified Arabic" w:hint="cs"/>
          <w:sz w:val="32"/>
          <w:szCs w:val="32"/>
          <w:rtl/>
          <w:lang w:val="fr-FR" w:bidi="ar-DZ"/>
        </w:rPr>
        <w:t>وبتمكن المسلمين من بسط نفوذهم وسيطرتهم على أقاليم عديدة من العالم القديم، آسيا وأوربا وأفريقيا، اتبعوا سياسة التعايش والتسامح مع الآخر، فكان لذلك أثر على حركية الإنتاج العلمي والفكري، وأصبحت نقاط التماس بين المجتمعين الشرقي والغربي، مثل الأندلس</w:t>
      </w:r>
      <w:r>
        <w:rPr>
          <w:rFonts w:ascii="Simplified Arabic" w:hAnsi="Simplified Arabic" w:cs="Simplified Arabic" w:hint="cs"/>
          <w:color w:val="FF0000"/>
          <w:sz w:val="32"/>
          <w:szCs w:val="32"/>
          <w:rtl/>
          <w:lang w:val="fr-FR" w:bidi="ar-DZ"/>
        </w:rPr>
        <w:t xml:space="preserve"> </w:t>
      </w:r>
      <w:r w:rsidRPr="00A67A4E">
        <w:rPr>
          <w:rFonts w:ascii="Simplified Arabic" w:hAnsi="Simplified Arabic" w:cs="Simplified Arabic" w:hint="cs"/>
          <w:sz w:val="32"/>
          <w:szCs w:val="32"/>
          <w:rtl/>
          <w:lang w:val="fr-FR" w:bidi="ar-DZ"/>
        </w:rPr>
        <w:t>وصقلية</w:t>
      </w:r>
      <w:r>
        <w:rPr>
          <w:rFonts w:ascii="Simplified Arabic" w:hAnsi="Simplified Arabic" w:cs="Simplified Arabic" w:hint="cs"/>
          <w:sz w:val="32"/>
          <w:szCs w:val="32"/>
          <w:rtl/>
          <w:lang w:val="fr-FR" w:bidi="ar-DZ"/>
        </w:rPr>
        <w:t xml:space="preserve"> بعدما فتحهما المسلمون</w:t>
      </w:r>
      <w:r w:rsidRPr="00A67A4E">
        <w:rPr>
          <w:rFonts w:ascii="Simplified Arabic" w:hAnsi="Simplified Arabic" w:cs="Simplified Arabic" w:hint="cs"/>
          <w:sz w:val="32"/>
          <w:szCs w:val="32"/>
          <w:rtl/>
          <w:lang w:val="fr-FR" w:bidi="ar-DZ"/>
        </w:rPr>
        <w:t xml:space="preserve"> وبلاد الشام بعد </w:t>
      </w:r>
      <w:r>
        <w:rPr>
          <w:rFonts w:ascii="Simplified Arabic" w:hAnsi="Simplified Arabic" w:cs="Simplified Arabic" w:hint="cs"/>
          <w:sz w:val="32"/>
          <w:szCs w:val="32"/>
          <w:rtl/>
          <w:lang w:val="fr-FR" w:bidi="ar-DZ"/>
        </w:rPr>
        <w:t xml:space="preserve">حركة </w:t>
      </w:r>
      <w:r w:rsidRPr="00A67A4E">
        <w:rPr>
          <w:rFonts w:ascii="Simplified Arabic" w:hAnsi="Simplified Arabic" w:cs="Simplified Arabic" w:hint="cs"/>
          <w:sz w:val="32"/>
          <w:szCs w:val="32"/>
          <w:rtl/>
          <w:lang w:val="fr-FR" w:bidi="ar-DZ"/>
        </w:rPr>
        <w:t xml:space="preserve">الحروب </w:t>
      </w:r>
      <w:r w:rsidRPr="00A67A4E">
        <w:rPr>
          <w:rFonts w:ascii="Simplified Arabic" w:hAnsi="Simplified Arabic" w:cs="Simplified Arabic" w:hint="cs"/>
          <w:sz w:val="32"/>
          <w:szCs w:val="32"/>
          <w:rtl/>
          <w:lang w:val="fr-FR" w:bidi="ar-DZ"/>
        </w:rPr>
        <w:lastRenderedPageBreak/>
        <w:t>الصليبية</w:t>
      </w:r>
      <w:r w:rsidRPr="00571445">
        <w:rPr>
          <w:rFonts w:ascii="Simplified Arabic" w:hAnsi="Simplified Arabic" w:cs="Simplified Arabic" w:hint="cs"/>
          <w:b/>
          <w:bCs/>
          <w:sz w:val="32"/>
          <w:szCs w:val="32"/>
          <w:vertAlign w:val="superscript"/>
          <w:rtl/>
          <w:lang w:val="fr-FR" w:bidi="ar-DZ"/>
        </w:rPr>
        <w:t>(</w:t>
      </w:r>
      <w:r w:rsidRPr="00571445">
        <w:rPr>
          <w:rStyle w:val="a4"/>
          <w:rFonts w:ascii="Simplified Arabic" w:hAnsi="Simplified Arabic" w:cs="Simplified Arabic"/>
          <w:b/>
          <w:bCs/>
          <w:sz w:val="32"/>
          <w:szCs w:val="32"/>
          <w:rtl/>
          <w:lang w:val="fr-FR" w:bidi="ar-DZ"/>
        </w:rPr>
        <w:footnoteReference w:id="7"/>
      </w:r>
      <w:r w:rsidRPr="00571445">
        <w:rPr>
          <w:rFonts w:ascii="Simplified Arabic" w:hAnsi="Simplified Arabic" w:cs="Simplified Arabic" w:hint="cs"/>
          <w:b/>
          <w:bCs/>
          <w:sz w:val="32"/>
          <w:szCs w:val="32"/>
          <w:vertAlign w:val="superscript"/>
          <w:rtl/>
          <w:lang w:val="fr-FR" w:bidi="ar-DZ"/>
        </w:rPr>
        <w:t>)</w:t>
      </w:r>
      <w:r w:rsidRPr="00A67A4E">
        <w:rPr>
          <w:rFonts w:ascii="Simplified Arabic" w:hAnsi="Simplified Arabic" w:cs="Simplified Arabic" w:hint="cs"/>
          <w:sz w:val="32"/>
          <w:szCs w:val="32"/>
          <w:rtl/>
          <w:lang w:val="fr-FR" w:bidi="ar-DZ"/>
        </w:rPr>
        <w:t>،</w:t>
      </w:r>
      <w:r>
        <w:rPr>
          <w:rFonts w:ascii="Simplified Arabic" w:hAnsi="Simplified Arabic" w:cs="Simplified Arabic" w:hint="cs"/>
          <w:sz w:val="32"/>
          <w:szCs w:val="32"/>
          <w:rtl/>
          <w:lang w:val="fr-FR" w:bidi="ar-DZ"/>
        </w:rPr>
        <w:t xml:space="preserve"> </w:t>
      </w:r>
      <w:r w:rsidRPr="00A67A4E">
        <w:rPr>
          <w:rFonts w:ascii="Simplified Arabic" w:hAnsi="Simplified Arabic" w:cs="Simplified Arabic" w:hint="cs"/>
          <w:sz w:val="32"/>
          <w:szCs w:val="32"/>
          <w:rtl/>
          <w:lang w:val="fr-FR" w:bidi="ar-DZ"/>
        </w:rPr>
        <w:t xml:space="preserve">منافذ وجسور عبور منها انتقلت العلوم والمعارف </w:t>
      </w:r>
      <w:r>
        <w:rPr>
          <w:rFonts w:ascii="Simplified Arabic" w:hAnsi="Simplified Arabic" w:cs="Simplified Arabic" w:hint="cs"/>
          <w:sz w:val="32"/>
          <w:szCs w:val="32"/>
          <w:rtl/>
          <w:lang w:val="fr-FR" w:bidi="ar-DZ"/>
        </w:rPr>
        <w:t xml:space="preserve">العربية الإسلامية </w:t>
      </w:r>
      <w:r w:rsidRPr="00A67A4E">
        <w:rPr>
          <w:rFonts w:ascii="Simplified Arabic" w:hAnsi="Simplified Arabic" w:cs="Simplified Arabic" w:hint="cs"/>
          <w:sz w:val="32"/>
          <w:szCs w:val="32"/>
          <w:rtl/>
          <w:lang w:val="fr-FR" w:bidi="ar-DZ"/>
        </w:rPr>
        <w:t>باتجاه الغرب</w:t>
      </w:r>
      <w:r w:rsidRPr="00A67A4E">
        <w:rPr>
          <w:rFonts w:ascii="Simplified Arabic" w:hAnsi="Simplified Arabic" w:cs="Simplified Arabic" w:hint="cs"/>
          <w:b/>
          <w:bCs/>
          <w:sz w:val="32"/>
          <w:szCs w:val="32"/>
          <w:vertAlign w:val="superscript"/>
          <w:rtl/>
          <w:lang w:val="fr-FR" w:bidi="ar-DZ"/>
        </w:rPr>
        <w:t>(</w:t>
      </w:r>
      <w:r w:rsidRPr="00A67A4E">
        <w:rPr>
          <w:rStyle w:val="a4"/>
          <w:rFonts w:ascii="Simplified Arabic" w:hAnsi="Simplified Arabic" w:cs="Simplified Arabic"/>
          <w:b/>
          <w:bCs/>
          <w:sz w:val="32"/>
          <w:szCs w:val="32"/>
          <w:rtl/>
          <w:lang w:val="fr-FR" w:bidi="ar-DZ"/>
        </w:rPr>
        <w:footnoteReference w:id="8"/>
      </w:r>
      <w:r w:rsidRPr="00A67A4E">
        <w:rPr>
          <w:rFonts w:ascii="Simplified Arabic" w:hAnsi="Simplified Arabic" w:cs="Simplified Arabic" w:hint="cs"/>
          <w:b/>
          <w:bCs/>
          <w:sz w:val="32"/>
          <w:szCs w:val="32"/>
          <w:vertAlign w:val="superscript"/>
          <w:rtl/>
          <w:lang w:val="fr-FR" w:bidi="ar-DZ"/>
        </w:rPr>
        <w:t>)</w:t>
      </w:r>
      <w:r>
        <w:rPr>
          <w:rFonts w:ascii="Simplified Arabic" w:hAnsi="Simplified Arabic" w:cs="Simplified Arabic" w:hint="cs"/>
          <w:sz w:val="32"/>
          <w:szCs w:val="32"/>
          <w:rtl/>
          <w:lang w:val="fr-FR" w:bidi="ar-DZ"/>
        </w:rPr>
        <w:t>.</w:t>
      </w:r>
    </w:p>
    <w:p w:rsidR="005C1F58" w:rsidRDefault="005C1F58" w:rsidP="002B448B">
      <w:pPr>
        <w:rPr>
          <w:lang w:bidi="ar-DZ"/>
        </w:rPr>
      </w:pPr>
    </w:p>
    <w:sectPr w:rsidR="005C1F58" w:rsidSect="00B35BA8">
      <w:pgSz w:w="11906" w:h="16838"/>
      <w:pgMar w:top="1417" w:right="1417" w:bottom="1417" w:left="1417"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4D3" w:rsidRDefault="009954D3" w:rsidP="002B448B">
      <w:pPr>
        <w:spacing w:after="0" w:line="240" w:lineRule="auto"/>
      </w:pPr>
      <w:r>
        <w:separator/>
      </w:r>
    </w:p>
  </w:endnote>
  <w:endnote w:type="continuationSeparator" w:id="1">
    <w:p w:rsidR="009954D3" w:rsidRDefault="009954D3" w:rsidP="002B44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4D3" w:rsidRDefault="009954D3" w:rsidP="002B448B">
      <w:pPr>
        <w:spacing w:after="0" w:line="240" w:lineRule="auto"/>
      </w:pPr>
      <w:r>
        <w:separator/>
      </w:r>
    </w:p>
  </w:footnote>
  <w:footnote w:type="continuationSeparator" w:id="1">
    <w:p w:rsidR="009954D3" w:rsidRDefault="009954D3" w:rsidP="002B448B">
      <w:pPr>
        <w:spacing w:after="0" w:line="240" w:lineRule="auto"/>
      </w:pPr>
      <w:r>
        <w:continuationSeparator/>
      </w:r>
    </w:p>
  </w:footnote>
  <w:footnote w:id="2">
    <w:p w:rsidR="002B448B" w:rsidRPr="002959B3" w:rsidRDefault="002B448B" w:rsidP="002B448B">
      <w:pPr>
        <w:pStyle w:val="a3"/>
        <w:jc w:val="both"/>
        <w:rPr>
          <w:color w:val="FFFFFF" w:themeColor="background1"/>
          <w:rtl/>
        </w:rPr>
      </w:pPr>
      <w:r w:rsidRPr="002959B3">
        <w:rPr>
          <w:rStyle w:val="a4"/>
          <w:color w:val="FFFFFF" w:themeColor="background1"/>
        </w:rPr>
        <w:footnoteRef/>
      </w:r>
      <w:r w:rsidRPr="002959B3">
        <w:rPr>
          <w:color w:val="FFFFFF" w:themeColor="background1"/>
          <w:rtl/>
        </w:rPr>
        <w:t xml:space="preserve"> </w:t>
      </w:r>
      <w:r w:rsidRPr="002959B3">
        <w:rPr>
          <w:rFonts w:hint="cs"/>
          <w:color w:val="FFFFFF" w:themeColor="background1"/>
          <w:rtl/>
        </w:rPr>
        <w:t xml:space="preserve">) </w:t>
      </w:r>
      <w:r w:rsidRPr="002959B3">
        <w:rPr>
          <w:rFonts w:ascii="Simplified Arabic" w:hAnsi="Simplified Arabic" w:cs="Simplified Arabic" w:hint="cs"/>
          <w:color w:val="FFFFFF" w:themeColor="background1"/>
          <w:sz w:val="24"/>
          <w:szCs w:val="24"/>
          <w:rtl/>
          <w:lang w:bidi="ar-DZ"/>
        </w:rPr>
        <w:t>نورمان كانتور، المرجع السابق، ج.1، ص.195.</w:t>
      </w:r>
    </w:p>
  </w:footnote>
  <w:footnote w:id="3">
    <w:p w:rsidR="002B448B" w:rsidRPr="002959B3" w:rsidRDefault="002B448B" w:rsidP="002B448B">
      <w:pPr>
        <w:pStyle w:val="a3"/>
        <w:jc w:val="both"/>
        <w:rPr>
          <w:color w:val="FFFFFF" w:themeColor="background1"/>
          <w:rtl/>
        </w:rPr>
      </w:pPr>
      <w:r w:rsidRPr="002959B3">
        <w:rPr>
          <w:rStyle w:val="a4"/>
          <w:color w:val="FFFFFF" w:themeColor="background1"/>
        </w:rPr>
        <w:footnoteRef/>
      </w:r>
      <w:r w:rsidRPr="002959B3">
        <w:rPr>
          <w:color w:val="FFFFFF" w:themeColor="background1"/>
          <w:rtl/>
        </w:rPr>
        <w:t xml:space="preserve"> </w:t>
      </w:r>
      <w:r w:rsidRPr="002959B3">
        <w:rPr>
          <w:rFonts w:hint="cs"/>
          <w:color w:val="FFFFFF" w:themeColor="background1"/>
          <w:rtl/>
        </w:rPr>
        <w:t xml:space="preserve">) </w:t>
      </w:r>
      <w:r w:rsidRPr="002959B3">
        <w:rPr>
          <w:rFonts w:ascii="Simplified Arabic" w:hAnsi="Simplified Arabic" w:cs="Simplified Arabic" w:hint="cs"/>
          <w:color w:val="FFFFFF" w:themeColor="background1"/>
          <w:sz w:val="24"/>
          <w:szCs w:val="24"/>
          <w:rtl/>
          <w:lang w:bidi="ar-DZ"/>
        </w:rPr>
        <w:t>عاشور، تاريخ أوربا، ص.94.</w:t>
      </w:r>
    </w:p>
  </w:footnote>
  <w:footnote w:id="4">
    <w:p w:rsidR="002B448B" w:rsidRPr="002959B3" w:rsidRDefault="002B448B" w:rsidP="002B448B">
      <w:pPr>
        <w:pStyle w:val="a3"/>
        <w:jc w:val="both"/>
        <w:rPr>
          <w:color w:val="FFFFFF" w:themeColor="background1"/>
          <w:lang w:val="fr-FR" w:bidi="ar-DZ"/>
        </w:rPr>
      </w:pPr>
      <w:r w:rsidRPr="002959B3">
        <w:rPr>
          <w:rStyle w:val="a4"/>
          <w:color w:val="FFFFFF" w:themeColor="background1"/>
        </w:rPr>
        <w:footnoteRef/>
      </w:r>
      <w:r w:rsidRPr="002959B3">
        <w:rPr>
          <w:color w:val="FFFFFF" w:themeColor="background1"/>
          <w:rtl/>
        </w:rPr>
        <w:t xml:space="preserve"> </w:t>
      </w:r>
      <w:r w:rsidRPr="002959B3">
        <w:rPr>
          <w:rFonts w:hint="cs"/>
          <w:color w:val="FFFFFF" w:themeColor="background1"/>
          <w:rtl/>
        </w:rPr>
        <w:t xml:space="preserve">) </w:t>
      </w:r>
      <w:r w:rsidRPr="002959B3">
        <w:rPr>
          <w:rFonts w:ascii="Simplified Arabic" w:hAnsi="Simplified Arabic" w:cs="Simplified Arabic" w:hint="cs"/>
          <w:color w:val="FFFFFF" w:themeColor="background1"/>
          <w:sz w:val="24"/>
          <w:szCs w:val="24"/>
          <w:rtl/>
          <w:lang w:bidi="ar-DZ"/>
        </w:rPr>
        <w:t xml:space="preserve">للمزيد من التفاصيل انظر: </w:t>
      </w:r>
      <w:r w:rsidRPr="002959B3">
        <w:rPr>
          <w:rFonts w:ascii="Simplified Arabic" w:hAnsi="Simplified Arabic" w:cs="Simplified Arabic"/>
          <w:color w:val="FFFFFF" w:themeColor="background1"/>
          <w:sz w:val="24"/>
          <w:szCs w:val="24"/>
          <w:lang w:bidi="ar-DZ"/>
        </w:rPr>
        <w:t>Margaret Deanesly, op.cit., P.99.</w:t>
      </w:r>
    </w:p>
  </w:footnote>
  <w:footnote w:id="5">
    <w:p w:rsidR="002B448B" w:rsidRPr="002959B3" w:rsidRDefault="002B448B" w:rsidP="002B448B">
      <w:pPr>
        <w:pStyle w:val="a3"/>
        <w:jc w:val="both"/>
        <w:rPr>
          <w:color w:val="FFFFFF" w:themeColor="background1"/>
          <w:rtl/>
          <w:lang w:bidi="ar-DZ"/>
        </w:rPr>
      </w:pPr>
      <w:r w:rsidRPr="002959B3">
        <w:rPr>
          <w:rStyle w:val="a4"/>
          <w:b/>
          <w:bCs/>
          <w:color w:val="FFFFFF" w:themeColor="background1"/>
          <w:sz w:val="24"/>
          <w:szCs w:val="24"/>
        </w:rPr>
        <w:footnoteRef/>
      </w:r>
      <w:r w:rsidRPr="002959B3">
        <w:rPr>
          <w:rFonts w:hint="cs"/>
          <w:b/>
          <w:bCs/>
          <w:color w:val="FFFFFF" w:themeColor="background1"/>
          <w:sz w:val="24"/>
          <w:szCs w:val="24"/>
          <w:vertAlign w:val="superscript"/>
          <w:rtl/>
        </w:rPr>
        <w:t>)</w:t>
      </w:r>
      <w:r w:rsidRPr="002959B3">
        <w:rPr>
          <w:rFonts w:hint="cs"/>
          <w:color w:val="FFFFFF" w:themeColor="background1"/>
          <w:rtl/>
        </w:rPr>
        <w:t xml:space="preserve"> </w:t>
      </w:r>
      <w:r w:rsidRPr="002959B3">
        <w:rPr>
          <w:rFonts w:ascii="Simplified Arabic" w:hAnsi="Simplified Arabic" w:cs="Simplified Arabic"/>
          <w:color w:val="FFFFFF" w:themeColor="background1"/>
          <w:sz w:val="24"/>
          <w:szCs w:val="24"/>
          <w:rtl/>
          <w:lang w:bidi="ar-DZ"/>
        </w:rPr>
        <w:t>إبراهيم أحمد العدوي ، الأساطيل العربية في البحر الأبيض المتوسط، مكتبة نهضة مصر،</w:t>
      </w:r>
      <w:r w:rsidRPr="002959B3">
        <w:rPr>
          <w:rFonts w:ascii="Simplified Arabic" w:hAnsi="Simplified Arabic" w:cs="Simplified Arabic" w:hint="cs"/>
          <w:color w:val="FFFFFF" w:themeColor="background1"/>
          <w:sz w:val="24"/>
          <w:szCs w:val="24"/>
          <w:rtl/>
          <w:lang w:bidi="ar-DZ"/>
        </w:rPr>
        <w:t>(د.ت.ن)،</w:t>
      </w:r>
      <w:r w:rsidRPr="002959B3">
        <w:rPr>
          <w:rFonts w:ascii="Simplified Arabic" w:hAnsi="Simplified Arabic" w:cs="Simplified Arabic"/>
          <w:color w:val="FFFFFF" w:themeColor="background1"/>
          <w:sz w:val="24"/>
          <w:szCs w:val="24"/>
          <w:rtl/>
          <w:lang w:bidi="ar-DZ"/>
        </w:rPr>
        <w:t xml:space="preserve"> القاهرة، ص ص</w:t>
      </w:r>
      <w:r w:rsidRPr="002959B3">
        <w:rPr>
          <w:rFonts w:ascii="Simplified Arabic" w:hAnsi="Simplified Arabic" w:cs="Simplified Arabic" w:hint="cs"/>
          <w:color w:val="FFFFFF" w:themeColor="background1"/>
          <w:sz w:val="24"/>
          <w:szCs w:val="24"/>
          <w:rtl/>
          <w:lang w:bidi="ar-DZ"/>
        </w:rPr>
        <w:t>.17-18.</w:t>
      </w:r>
    </w:p>
  </w:footnote>
  <w:footnote w:id="6">
    <w:p w:rsidR="002B448B" w:rsidRPr="002959B3" w:rsidRDefault="002B448B" w:rsidP="002B448B">
      <w:pPr>
        <w:pStyle w:val="a3"/>
        <w:jc w:val="both"/>
        <w:rPr>
          <w:color w:val="FFFFFF" w:themeColor="background1"/>
          <w:rtl/>
          <w:lang w:bidi="ar-DZ"/>
        </w:rPr>
      </w:pPr>
      <w:r w:rsidRPr="002959B3">
        <w:rPr>
          <w:rStyle w:val="a4"/>
          <w:b/>
          <w:bCs/>
          <w:color w:val="FFFFFF" w:themeColor="background1"/>
          <w:sz w:val="24"/>
          <w:szCs w:val="24"/>
        </w:rPr>
        <w:footnoteRef/>
      </w:r>
      <w:r w:rsidRPr="002959B3">
        <w:rPr>
          <w:rFonts w:hint="cs"/>
          <w:b/>
          <w:bCs/>
          <w:color w:val="FFFFFF" w:themeColor="background1"/>
          <w:sz w:val="24"/>
          <w:szCs w:val="24"/>
          <w:vertAlign w:val="superscript"/>
          <w:rtl/>
        </w:rPr>
        <w:t>)</w:t>
      </w:r>
      <w:r w:rsidRPr="002959B3">
        <w:rPr>
          <w:rFonts w:hint="cs"/>
          <w:color w:val="FFFFFF" w:themeColor="background1"/>
          <w:rtl/>
        </w:rPr>
        <w:t xml:space="preserve"> </w:t>
      </w:r>
      <w:r w:rsidRPr="002959B3">
        <w:rPr>
          <w:rFonts w:ascii="Simplified Arabic" w:hAnsi="Simplified Arabic" w:cs="Simplified Arabic" w:hint="cs"/>
          <w:color w:val="FFFFFF" w:themeColor="background1"/>
          <w:sz w:val="24"/>
          <w:szCs w:val="24"/>
          <w:rtl/>
          <w:lang w:bidi="ar-DZ"/>
        </w:rPr>
        <w:t>للمزيد عن التوسعات العربية الإسلامية في حوض المتوسط، انظر:</w:t>
      </w:r>
      <w:r w:rsidRPr="002959B3">
        <w:rPr>
          <w:rFonts w:ascii="Simplified Arabic" w:hAnsi="Simplified Arabic" w:cs="Simplified Arabic"/>
          <w:color w:val="FFFFFF" w:themeColor="background1"/>
          <w:sz w:val="24"/>
          <w:szCs w:val="24"/>
          <w:rtl/>
          <w:lang w:bidi="ar-DZ"/>
        </w:rPr>
        <w:t xml:space="preserve"> إبراهيم أحمد العدوي</w:t>
      </w:r>
      <w:r w:rsidRPr="002959B3">
        <w:rPr>
          <w:rFonts w:ascii="Simplified Arabic" w:hAnsi="Simplified Arabic" w:cs="Simplified Arabic" w:hint="cs"/>
          <w:color w:val="FFFFFF" w:themeColor="background1"/>
          <w:sz w:val="24"/>
          <w:szCs w:val="24"/>
          <w:rtl/>
          <w:lang w:bidi="ar-DZ"/>
        </w:rPr>
        <w:t>، المرجع نفسه ، ص ص.21-65.</w:t>
      </w:r>
    </w:p>
  </w:footnote>
  <w:footnote w:id="7">
    <w:p w:rsidR="002B448B" w:rsidRPr="007B22FD" w:rsidRDefault="002B448B" w:rsidP="002B448B">
      <w:pPr>
        <w:pStyle w:val="a3"/>
        <w:jc w:val="both"/>
        <w:rPr>
          <w:rFonts w:ascii="Simplified Arabic" w:hAnsi="Simplified Arabic" w:cs="Simplified Arabic"/>
          <w:sz w:val="24"/>
          <w:szCs w:val="24"/>
          <w:rtl/>
          <w:lang w:bidi="ar-DZ"/>
        </w:rPr>
      </w:pPr>
      <w:r w:rsidRPr="002959B3">
        <w:rPr>
          <w:rStyle w:val="a4"/>
          <w:b/>
          <w:bCs/>
          <w:color w:val="FFFFFF" w:themeColor="background1"/>
          <w:sz w:val="24"/>
          <w:szCs w:val="24"/>
        </w:rPr>
        <w:footnoteRef/>
      </w:r>
      <w:r w:rsidRPr="002959B3">
        <w:rPr>
          <w:rFonts w:hint="cs"/>
          <w:b/>
          <w:bCs/>
          <w:color w:val="FFFFFF" w:themeColor="background1"/>
          <w:sz w:val="24"/>
          <w:szCs w:val="24"/>
          <w:vertAlign w:val="superscript"/>
          <w:rtl/>
        </w:rPr>
        <w:t>)</w:t>
      </w:r>
      <w:r w:rsidRPr="002959B3">
        <w:rPr>
          <w:rFonts w:hint="cs"/>
          <w:color w:val="FFFFFF" w:themeColor="background1"/>
          <w:rtl/>
        </w:rPr>
        <w:t xml:space="preserve"> </w:t>
      </w:r>
      <w:r w:rsidRPr="002959B3">
        <w:rPr>
          <w:rFonts w:ascii="Simplified Arabic" w:hAnsi="Simplified Arabic" w:cs="Simplified Arabic" w:hint="cs"/>
          <w:color w:val="FFFFFF" w:themeColor="background1"/>
          <w:sz w:val="24"/>
          <w:szCs w:val="24"/>
          <w:rtl/>
          <w:lang w:bidi="ar-DZ"/>
        </w:rPr>
        <w:t>هي تلك الحملات العسكرية التي خاضها الغرب اللاّتيني المسيحي ضد المسلمين شرقا وغربا. وخاصة على بلاد الشام، حيث توجد المقدسات الدينية المسيحية، وتخفوا بالوازع الديني كونه حرك تلك الجيوش الصليبية، بينما كانت لهم أطماع  سياسية واقتصادية على الخصوص، وكان ذلك في نهاية القرن الحادي عشر الميلادي(نهاية القرن الخامس الهجري)، وسميت بالصليبية نتيجة اتخاذهم الصليب شعارا، بل أنهم قاموا بحياكته على ألبستهم. وكان البابا أوربان الثاني</w:t>
      </w:r>
      <w:r w:rsidRPr="002959B3">
        <w:rPr>
          <w:rFonts w:ascii="Simplified Arabic" w:hAnsi="Simplified Arabic" w:cs="Simplified Arabic"/>
          <w:color w:val="FFFFFF" w:themeColor="background1"/>
          <w:sz w:val="24"/>
          <w:szCs w:val="24"/>
          <w:lang w:val="fr-FR" w:bidi="ar-DZ"/>
        </w:rPr>
        <w:t>Ubran II</w:t>
      </w:r>
      <w:r>
        <w:rPr>
          <w:rFonts w:ascii="Simplified Arabic" w:hAnsi="Simplified Arabic" w:cs="Simplified Arabic"/>
          <w:sz w:val="24"/>
          <w:szCs w:val="24"/>
          <w:lang w:val="fr-FR" w:bidi="ar-DZ"/>
        </w:rPr>
        <w:t xml:space="preserve"> </w:t>
      </w:r>
      <w:r>
        <w:rPr>
          <w:rFonts w:ascii="Simplified Arabic" w:hAnsi="Simplified Arabic" w:cs="Simplified Arabic" w:hint="cs"/>
          <w:sz w:val="24"/>
          <w:szCs w:val="24"/>
          <w:rtl/>
          <w:lang w:val="fr-FR" w:bidi="ar-DZ"/>
        </w:rPr>
        <w:t xml:space="preserve"> (1088-1099م)</w:t>
      </w:r>
      <w:r>
        <w:rPr>
          <w:rFonts w:ascii="Simplified Arabic" w:hAnsi="Simplified Arabic" w:cs="Simplified Arabic" w:hint="cs"/>
          <w:sz w:val="24"/>
          <w:szCs w:val="24"/>
          <w:rtl/>
          <w:lang w:bidi="ar-DZ"/>
        </w:rPr>
        <w:t xml:space="preserve"> هو من أثار الحماس الديني في نفوس أبناء الغرب ووعدهم بالكسب هناك في حالة خروجهم وتحقيق النصر على المسلمين. وقد كانت الحملة الصليبية الأولى على بلاد الشام، أكثر نجاحا لأنها وطنت الصليبيين في المنطقة ما يقارب القرنين من الزمان. للمزيد عن الحركة الصليبية واتخاذها شعار الصليب. انظر: فوشيه الشارتري، تاريخ الحملة إلى القدس، ترجمة: زياد جميل العسلي، دار الشروق للنشر والتوزيع، 1990، عمان، الأردن، ص.37؛ انظر أيضا: محمد العروسي المطوي، الحروب الصليبية في المشرق والمغرب، 1982، دار الغرب الإسلامي.</w:t>
      </w:r>
    </w:p>
  </w:footnote>
  <w:footnote w:id="8">
    <w:p w:rsidR="002B448B" w:rsidRPr="000C53D0" w:rsidRDefault="002B448B" w:rsidP="002B448B">
      <w:pPr>
        <w:pStyle w:val="a3"/>
        <w:jc w:val="both"/>
        <w:rPr>
          <w:rFonts w:ascii="Simplified Arabic" w:hAnsi="Simplified Arabic" w:cs="Simplified Arabic"/>
          <w:sz w:val="24"/>
          <w:szCs w:val="24"/>
          <w:rtl/>
          <w:lang w:bidi="ar-DZ"/>
        </w:rPr>
      </w:pPr>
      <w:r>
        <w:rPr>
          <w:rStyle w:val="a4"/>
        </w:rPr>
        <w:footnoteRef/>
      </w:r>
      <w:r>
        <w:rPr>
          <w:rtl/>
        </w:rPr>
        <w:t xml:space="preserve"> </w:t>
      </w:r>
      <w:r>
        <w:rPr>
          <w:rFonts w:hint="cs"/>
          <w:rtl/>
        </w:rPr>
        <w:t xml:space="preserve">) </w:t>
      </w:r>
      <w:r w:rsidRPr="000C53D0">
        <w:rPr>
          <w:rFonts w:ascii="Simplified Arabic" w:hAnsi="Simplified Arabic" w:cs="Simplified Arabic" w:hint="cs"/>
          <w:sz w:val="24"/>
          <w:szCs w:val="24"/>
          <w:rtl/>
          <w:lang w:bidi="ar-DZ"/>
        </w:rPr>
        <w:t xml:space="preserve">للمزيد عن التبادل الحضاري وعبور الثقافة العربية الإسلامية إلى الغرب، انظر: حسن حلاق، العلاقات الحضارية بين الشرق </w:t>
      </w:r>
      <w:r>
        <w:rPr>
          <w:rFonts w:ascii="Simplified Arabic" w:hAnsi="Simplified Arabic" w:cs="Simplified Arabic" w:hint="cs"/>
          <w:sz w:val="24"/>
          <w:szCs w:val="24"/>
          <w:rtl/>
          <w:lang w:bidi="ar-DZ"/>
        </w:rPr>
        <w:t>والغرب في العصور الوسطى، الأندلس</w:t>
      </w:r>
      <w:r w:rsidRPr="000C53D0">
        <w:rPr>
          <w:rFonts w:ascii="Simplified Arabic" w:hAnsi="Simplified Arabic" w:cs="Simplified Arabic" w:hint="cs"/>
          <w:sz w:val="24"/>
          <w:szCs w:val="24"/>
          <w:rtl/>
          <w:lang w:bidi="ar-DZ"/>
        </w:rPr>
        <w:t>، صقلية، بلاد الشام، ط.2، دار النهضة العربية، 2012، بيروت، لبنان.</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B448B"/>
    <w:rsid w:val="001E01B2"/>
    <w:rsid w:val="002B448B"/>
    <w:rsid w:val="005C1F58"/>
    <w:rsid w:val="006A471C"/>
    <w:rsid w:val="008439C5"/>
    <w:rsid w:val="008E33DE"/>
    <w:rsid w:val="009954D3"/>
    <w:rsid w:val="00B35BA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48B"/>
    <w:pPr>
      <w:bidi/>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nhideWhenUsed/>
    <w:rsid w:val="002B448B"/>
    <w:pPr>
      <w:spacing w:after="0" w:line="240" w:lineRule="auto"/>
    </w:pPr>
    <w:rPr>
      <w:sz w:val="20"/>
      <w:szCs w:val="20"/>
    </w:rPr>
  </w:style>
  <w:style w:type="character" w:customStyle="1" w:styleId="Char">
    <w:name w:val="نص حاشية سفلية Char"/>
    <w:basedOn w:val="a0"/>
    <w:link w:val="a3"/>
    <w:rsid w:val="002B448B"/>
    <w:rPr>
      <w:sz w:val="20"/>
      <w:szCs w:val="20"/>
    </w:rPr>
  </w:style>
  <w:style w:type="character" w:styleId="a4">
    <w:name w:val="footnote reference"/>
    <w:basedOn w:val="a0"/>
    <w:uiPriority w:val="99"/>
    <w:semiHidden/>
    <w:unhideWhenUsed/>
    <w:rsid w:val="002B448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398</Words>
  <Characters>2269</Characters>
  <Application>Microsoft Office Word</Application>
  <DocSecurity>0</DocSecurity>
  <Lines>18</Lines>
  <Paragraphs>5</Paragraphs>
  <ScaleCrop>false</ScaleCrop>
  <Company/>
  <LinksUpToDate>false</LinksUpToDate>
  <CharactersWithSpaces>2662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mabrouk</dc:creator>
  <cp:lastModifiedBy>mabrouk</cp:lastModifiedBy>
  <cp:revision>2</cp:revision>
  <dcterms:created xsi:type="dcterms:W3CDTF">2024-12-23T20:56:00Z</dcterms:created>
  <dcterms:modified xsi:type="dcterms:W3CDTF">2024-12-23T21:07:00Z</dcterms:modified>
</cp:coreProperties>
</file>