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FBA3D">
      <w:pPr>
        <w:bidi/>
        <w:spacing w:after="372" w:line="240" w:lineRule="auto"/>
        <w:jc w:val="center"/>
        <w:rPr>
          <w:rFonts w:ascii="Sakkal Majalla" w:hAnsi="Sakkal Majalla" w:eastAsia="Times New Roman" w:cs="Sakkal Majalla"/>
          <w:b/>
          <w:bCs/>
          <w:color w:val="FF0000"/>
          <w:sz w:val="32"/>
          <w:szCs w:val="32"/>
          <w:rtl/>
          <w:lang w:eastAsia="fr-FR"/>
        </w:rPr>
      </w:pPr>
      <w:r>
        <w:rPr>
          <w:rFonts w:hint="cs"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>المحاضرة</w:t>
      </w:r>
      <w:r>
        <w:rPr>
          <w:rFonts w:hint="cs" w:ascii="Sakkal Majalla" w:hAnsi="Sakkal Majalla" w:cs="Sakkal Majalla"/>
          <w:b/>
          <w:bCs/>
          <w:color w:val="000000" w:themeColor="text1"/>
          <w:sz w:val="32"/>
          <w:szCs w:val="32"/>
          <w:rtl/>
          <w:lang w:val="en-US" w:bidi="ar-DZ"/>
        </w:rPr>
        <w:t xml:space="preserve"> </w:t>
      </w:r>
      <w:r>
        <w:rPr>
          <w:rFonts w:hint="default" w:ascii="Sakkal Majalla" w:hAnsi="Sakkal Majalla" w:cs="Sakkal Majalla"/>
          <w:b/>
          <w:bCs/>
          <w:color w:val="000000" w:themeColor="text1"/>
          <w:sz w:val="32"/>
          <w:szCs w:val="32"/>
          <w:rtl w:val="0"/>
          <w:lang w:val="fr-FR" w:bidi="ar-DZ"/>
        </w:rPr>
        <w:t>08</w:t>
      </w:r>
      <w:r>
        <w:rPr>
          <w:rFonts w:hint="cs" w:ascii="Sakkal Majalla" w:hAnsi="Sakkal Majalla" w:cs="Sakkal Majalla"/>
          <w:b/>
          <w:bCs/>
          <w:color w:val="000000" w:themeColor="text1"/>
          <w:sz w:val="32"/>
          <w:szCs w:val="32"/>
          <w:rtl/>
          <w:lang w:val="en-US" w:bidi="ar-DZ"/>
        </w:rPr>
        <w:t>:</w:t>
      </w:r>
      <w:r>
        <w:rPr>
          <w:rFonts w:ascii="Sakkal Majalla" w:hAnsi="Sakkal Majalla" w:eastAsia="Times New Roman" w:cs="Sakkal Majalla"/>
          <w:b/>
          <w:bCs/>
          <w:color w:val="000000" w:themeColor="text1"/>
          <w:sz w:val="32"/>
          <w:szCs w:val="32"/>
          <w:rtl/>
          <w:lang w:eastAsia="fr-FR"/>
        </w:rPr>
        <w:t>الأطراف الفاعلة في مجال الوقـاية من الأخطار المهنية:</w:t>
      </w:r>
    </w:p>
    <w:p w14:paraId="542CB82E">
      <w:pPr>
        <w:bidi/>
        <w:spacing w:after="372" w:line="240" w:lineRule="auto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hint="cs"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 xml:space="preserve">سطرت </w:t>
      </w:r>
      <w:r>
        <w:rPr>
          <w:rFonts w:hint="cs" w:ascii="Sakkal Majalla" w:hAnsi="Sakkal Majalla" w:eastAsia="Times New Roman" w:cs="Sakkal Majalla"/>
          <w:color w:val="000000" w:themeColor="text1"/>
          <w:sz w:val="32"/>
          <w:szCs w:val="32"/>
          <w:rtl/>
          <w:lang w:eastAsia="fr-FR" w:bidi="ar-DZ"/>
        </w:rPr>
        <w:t xml:space="preserve">مجموعة من القوانين والنصوص المحددة من طرف وزارة العمل والتشغيل والضمان الاجتماعي لتحقيق الصحة والامن في العمل وتطرقت </w:t>
      </w: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 xml:space="preserve"> هذه النصوص إلى:</w:t>
      </w:r>
    </w:p>
    <w:p w14:paraId="572C7354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0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القواعد العامة في مجال الوقاية الصحية والأمن في وسط العمل؛</w:t>
      </w:r>
    </w:p>
    <w:p w14:paraId="013E528D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0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القواعد العامة في مجال التكوين والإعلام حول الأخطار المهنية الموجهة للعمال؛</w:t>
      </w:r>
    </w:p>
    <w:p w14:paraId="1D4A94F2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0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تنظيم وتمويـل الوقاية الصحية في المؤسسة.</w:t>
      </w:r>
    </w:p>
    <w:p w14:paraId="27E17572">
      <w:pPr>
        <w:bidi/>
        <w:spacing w:after="372" w:line="240" w:lineRule="auto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تم إسناد مهمة مراقبة تطبيق التشريع والتنظيم المتعلقين بهذه الحماية إلى مفتشية العمل.</w:t>
      </w:r>
    </w:p>
    <w:p w14:paraId="58B0327F">
      <w:pPr>
        <w:bidi/>
        <w:spacing w:after="372" w:line="240" w:lineRule="auto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 ولقد تم إصدار مجموعة من النصوص التطبيقية للقانون الإطار رقم 88-07 المؤرخ في 26 يناير 1988 وتتعلق لاسيما بما يأتي:</w:t>
      </w:r>
    </w:p>
    <w:p w14:paraId="3B654461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0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تأسيس لجان متساوية الأعضاء للوقاية الصحية والأمن أو تعيين المندوبين المكلفين بالوقاية الصحية والأمن، مع تحديد صلاحياتها وظروف سيرها؛</w:t>
      </w:r>
    </w:p>
    <w:p w14:paraId="1190C2E1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0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تأسيس لجان ما بين المؤسسات للوقاية الصحية والأمن، مع تحديد صلاحياتها وظروف سيرها؛</w:t>
      </w:r>
    </w:p>
    <w:p w14:paraId="0DE37F8B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0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إنشاء مصلحة الوقاية الصحية والأمن بصفتها هيكل عضوي وذلك لدى كل هيئة مستخدمة يفوق التعداد بها خمسون 50 عاملا؛</w:t>
      </w:r>
    </w:p>
    <w:p w14:paraId="2619D536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0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أحكام وقائية عامة للحماية في مجال الصحة والأمن في وسط العمل؛</w:t>
      </w:r>
    </w:p>
    <w:p w14:paraId="0010AF0B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0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أحكام خاصة تطبق على المواد والمنتوجات أو المستحضرات الخطرة في وسط العمل؛</w:t>
      </w:r>
    </w:p>
    <w:p w14:paraId="172E978A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0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أحكام خاصة للوقاية الصحية والأمن تطبق في قطاعات البناء والأشغال العمومية والري؛</w:t>
      </w:r>
    </w:p>
    <w:p w14:paraId="2F01BBF8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0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أحكام خاصة لحماية صحة العمال وأمنهم من الأخطار الكهربائية؛</w:t>
      </w:r>
    </w:p>
    <w:p w14:paraId="0E5D96E8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0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تنظيم طب العمل؛</w:t>
      </w:r>
    </w:p>
    <w:p w14:paraId="0A5A6277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0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تدابير الوقاية من الإشعاعات المؤينة.</w:t>
      </w:r>
    </w:p>
    <w:p w14:paraId="2F3E7FF5">
      <w:pPr>
        <w:bidi/>
        <w:spacing w:before="100" w:beforeAutospacing="1" w:after="100" w:afterAutospacing="1" w:line="240" w:lineRule="auto"/>
        <w:jc w:val="lowKashida"/>
        <w:rPr>
          <w:rFonts w:hint="cs"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</w:p>
    <w:p w14:paraId="7ADB3793">
      <w:pPr>
        <w:bidi/>
        <w:spacing w:before="100" w:beforeAutospacing="1" w:after="100" w:afterAutospacing="1" w:line="240" w:lineRule="auto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</w:p>
    <w:p w14:paraId="2D3A3DBD">
      <w:pPr>
        <w:rPr>
          <w:rFonts w:ascii="Sakkal Majalla" w:hAnsi="Sakkal Majalla" w:eastAsia="Times New Roman" w:cs="Sakkal Majalla"/>
          <w:b/>
          <w:bCs/>
          <w:color w:val="FF0000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b/>
          <w:bCs/>
          <w:color w:val="FF0000"/>
          <w:sz w:val="32"/>
          <w:szCs w:val="32"/>
          <w:rtl/>
          <w:lang w:eastAsia="fr-FR"/>
        </w:rPr>
        <w:br w:type="page"/>
      </w:r>
    </w:p>
    <w:p w14:paraId="19200313">
      <w:pPr>
        <w:bidi/>
        <w:spacing w:after="372" w:line="240" w:lineRule="auto"/>
        <w:jc w:val="lowKashida"/>
        <w:rPr>
          <w:rFonts w:ascii="Sakkal Majalla" w:hAnsi="Sakkal Majalla" w:eastAsia="Times New Roman" w:cs="Sakkal Majalla"/>
          <w:b/>
          <w:bCs/>
          <w:color w:val="FF0000"/>
          <w:sz w:val="32"/>
          <w:szCs w:val="32"/>
          <w:rtl/>
          <w:lang w:eastAsia="fr-FR"/>
        </w:rPr>
      </w:pPr>
      <w:bookmarkStart w:id="0" w:name="_GoBack"/>
      <w:bookmarkEnd w:id="0"/>
      <w:r>
        <w:rPr>
          <w:rFonts w:ascii="Sakkal Majalla" w:hAnsi="Sakkal Majalla" w:eastAsia="Times New Roman" w:cs="Sakkal Majalla"/>
          <w:b/>
          <w:bCs/>
          <w:color w:val="FF0000"/>
          <w:sz w:val="32"/>
          <w:szCs w:val="32"/>
          <w:rtl/>
          <w:lang w:eastAsia="fr-FR"/>
        </w:rPr>
        <w:t>الأطراف الفاعلة في مجال الوقـاية من الأخطار المهنية:</w:t>
      </w:r>
    </w:p>
    <w:p w14:paraId="78BAD4D7">
      <w:pPr>
        <w:bidi/>
        <w:spacing w:after="372" w:line="240" w:lineRule="auto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  فضلا عن نشاط المراقبة الذي تقوم به مفتشية العمل طبقا لصلاحياتها، أربع (04) هيئات تساهم في القيام بنشاط الوقاية من الأخطار المهنية ويتعلق الأمر بما يأتي:</w:t>
      </w:r>
    </w:p>
    <w:p w14:paraId="10DD2A24">
      <w:pPr>
        <w:bidi/>
        <w:spacing w:after="372" w:line="240" w:lineRule="auto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*المعهد الوطني للوقاية من الأخطار المهنية (</w:t>
      </w: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lang w:eastAsia="fr-FR"/>
        </w:rPr>
        <w:t>INPRP</w:t>
      </w: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)؛</w:t>
      </w:r>
    </w:p>
    <w:p w14:paraId="45E911CF">
      <w:pPr>
        <w:bidi/>
        <w:spacing w:after="372" w:line="240" w:lineRule="auto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*هيئة الوقاية من الأخطار المهنية في نشاطات البناء والأشغال العمومية والري (</w:t>
      </w: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lang w:eastAsia="fr-FR"/>
        </w:rPr>
        <w:t>OPREBATPH</w:t>
      </w: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)؛</w:t>
      </w:r>
    </w:p>
    <w:p w14:paraId="0EF03A3A">
      <w:pPr>
        <w:bidi/>
        <w:spacing w:after="372" w:line="240" w:lineRule="auto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*مؤسسة طب العمل بريستماد (</w:t>
      </w: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lang w:eastAsia="fr-FR"/>
        </w:rPr>
        <w:t>PRESTIMED</w:t>
      </w: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) ؛</w:t>
      </w:r>
    </w:p>
    <w:p w14:paraId="16F78E43">
      <w:pPr>
        <w:bidi/>
        <w:spacing w:after="372" w:line="240" w:lineRule="auto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*الصندوق الوطني للتأمينات الاجتماعية (</w:t>
      </w: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lang w:eastAsia="fr-FR"/>
        </w:rPr>
        <w:t>CNAS</w:t>
      </w: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) من خلال مديرية الوقاية من الأخطار المهنية.</w:t>
      </w:r>
    </w:p>
    <w:p w14:paraId="041CCD4F">
      <w:pPr>
        <w:bidi/>
        <w:spacing w:after="372" w:line="240" w:lineRule="auto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 مؤسسة طب العمل  (</w:t>
      </w: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lang w:eastAsia="fr-FR"/>
        </w:rPr>
        <w:t>PRESTIMED</w:t>
      </w: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) وتم إلحاقها بقطاع العمل سنة 2010 وهي مكلفة بتقديـم أداءات لفـائدة العمال في مجال طب العمل.</w:t>
      </w:r>
    </w:p>
    <w:p w14:paraId="33B1CC94">
      <w:pPr>
        <w:bidi/>
        <w:spacing w:after="372" w:line="240" w:lineRule="auto"/>
        <w:jc w:val="lowKashida"/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</w:pPr>
      <w:r>
        <w:rPr>
          <w:rFonts w:ascii="Sakkal Majalla" w:hAnsi="Sakkal Majalla" w:eastAsia="Times New Roman" w:cs="Sakkal Majalla"/>
          <w:color w:val="000000" w:themeColor="text1"/>
          <w:sz w:val="32"/>
          <w:szCs w:val="32"/>
          <w:rtl/>
          <w:lang w:eastAsia="fr-FR"/>
        </w:rPr>
        <w:t> </w:t>
      </w:r>
    </w:p>
    <w:p w14:paraId="499018DA">
      <w:pPr>
        <w:bidi/>
        <w:spacing w:line="240" w:lineRule="auto"/>
        <w:jc w:val="lowKashida"/>
        <w:rPr>
          <w:rFonts w:ascii="Sakkal Majalla" w:hAnsi="Sakkal Majalla" w:cs="Sakkal Majalla"/>
          <w:color w:val="000000" w:themeColor="text1"/>
          <w:sz w:val="32"/>
          <w:szCs w:val="32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323D81"/>
    <w:multiLevelType w:val="multilevel"/>
    <w:tmpl w:val="21323D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2AA55A5"/>
    <w:multiLevelType w:val="multilevel"/>
    <w:tmpl w:val="32AA55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829A9"/>
    <w:rsid w:val="003D3FE0"/>
    <w:rsid w:val="00703A16"/>
    <w:rsid w:val="007829A9"/>
    <w:rsid w:val="2BBB0623"/>
    <w:rsid w:val="41535A6D"/>
    <w:rsid w:val="4C886A1E"/>
    <w:rsid w:val="7263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2"/>
    <w:basedOn w:val="1"/>
    <w:link w:val="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6">
    <w:name w:val="Strong"/>
    <w:basedOn w:val="3"/>
    <w:qFormat/>
    <w:uiPriority w:val="22"/>
    <w:rPr>
      <w:b/>
      <w:bCs/>
    </w:rPr>
  </w:style>
  <w:style w:type="character" w:customStyle="1" w:styleId="7">
    <w:name w:val="Titre 2 C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fr-F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450</Words>
  <Characters>2476</Characters>
  <Lines>20</Lines>
  <Paragraphs>5</Paragraphs>
  <TotalTime>14</TotalTime>
  <ScaleCrop>false</ScaleCrop>
  <LinksUpToDate>false</LinksUpToDate>
  <CharactersWithSpaces>2921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2023-12-24T22:31:00Z</dcterms:created>
  <dc:creator>pc</dc:creator>
  <cp:lastModifiedBy>nassiba benloucif</cp:lastModifiedBy>
  <dcterms:modified xsi:type="dcterms:W3CDTF">2024-11-20T00:48:22Z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E331CE5047C64976A02262B77F8D5A41_12</vt:lpwstr>
  </property>
</Properties>
</file>