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2268"/>
        <w:gridCol w:w="4110"/>
        <w:gridCol w:w="1843"/>
        <w:gridCol w:w="866"/>
      </w:tblGrid>
      <w:tr w:rsidR="00962301" w:rsidTr="00962301">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jc w:val="lowKashida"/>
              <w:rPr>
                <w:rFonts w:ascii="Calibri" w:eastAsia="Calibri" w:hAnsi="Calibri" w:cs="Calibri"/>
                <w:lang w:bidi="ar-DZ"/>
              </w:rPr>
            </w:pPr>
            <w:r w:rsidRPr="00EA4D3D">
              <w:rPr>
                <w:rFonts w:ascii="Calibri" w:eastAsia="Calibri" w:hAnsi="Calibri" w:cs="Calibri"/>
                <w:b/>
                <w:bCs/>
                <w:u w:val="single"/>
                <w:lang w:bidi="ar-DZ"/>
              </w:rPr>
              <w:t>Level</w:t>
            </w:r>
            <w:r w:rsidRPr="00EA4D3D">
              <w:rPr>
                <w:rFonts w:ascii="Calibri" w:eastAsia="Calibri" w:hAnsi="Calibri" w:cs="Calibri"/>
                <w:b/>
                <w:bCs/>
                <w:lang w:bidi="ar-DZ"/>
              </w:rPr>
              <w:t xml:space="preserve">: </w:t>
            </w:r>
            <w:r w:rsidRPr="00EA4D3D">
              <w:rPr>
                <w:rFonts w:ascii="Calibri" w:eastAsia="Calibri" w:hAnsi="Calibri" w:cs="Calibri"/>
                <w:b/>
                <w:bCs/>
                <w:sz w:val="20"/>
                <w:szCs w:val="20"/>
                <w:lang w:bidi="ar-DZ"/>
              </w:rPr>
              <w:t>Master</w:t>
            </w:r>
            <w:r>
              <w:rPr>
                <w:rFonts w:ascii="Calibri" w:eastAsia="Calibri" w:hAnsi="Calibri" w:cs="Calibri"/>
                <w:b/>
                <w:bCs/>
                <w:sz w:val="20"/>
                <w:szCs w:val="20"/>
                <w:lang w:bidi="ar-DZ"/>
              </w:rPr>
              <w:t xml:space="preserve"> 1</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962301" w:rsidRPr="00962301" w:rsidRDefault="00962301" w:rsidP="00962301">
            <w:pPr>
              <w:spacing w:after="0" w:line="240" w:lineRule="auto"/>
              <w:jc w:val="center"/>
              <w:rPr>
                <w:rFonts w:ascii="Calibri" w:eastAsia="Calibri" w:hAnsi="Calibri" w:cs="Calibri"/>
                <w:sz w:val="20"/>
                <w:szCs w:val="20"/>
                <w:lang w:val="en-US" w:bidi="ar-DZ"/>
              </w:rPr>
            </w:pPr>
            <w:r w:rsidRPr="00962301">
              <w:rPr>
                <w:rFonts w:ascii="Calibri" w:eastAsia="Calibri" w:hAnsi="Calibri" w:cs="Calibri"/>
                <w:b/>
                <w:bCs/>
                <w:sz w:val="20"/>
                <w:szCs w:val="20"/>
                <w:lang w:val="en-US" w:bidi="ar-DZ"/>
              </w:rPr>
              <w:t>Mohamed Kheider University of Biskra</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jc w:val="lowKashida"/>
              <w:rPr>
                <w:rFonts w:ascii="Calibri" w:eastAsia="Calibri" w:hAnsi="Calibri" w:cs="Calibri"/>
                <w:lang w:bidi="ar-DZ"/>
              </w:rPr>
            </w:pPr>
            <w:r w:rsidRPr="00EA4D3D">
              <w:rPr>
                <w:rFonts w:ascii="Calibri" w:eastAsia="Calibri" w:hAnsi="Calibri" w:cs="Calibri"/>
                <w:b/>
                <w:bCs/>
                <w:u w:val="single"/>
                <w:lang w:bidi="ar-DZ"/>
              </w:rPr>
              <w:t>Lecturer</w:t>
            </w:r>
            <w:r w:rsidRPr="00EA4D3D">
              <w:rPr>
                <w:rFonts w:ascii="Calibri" w:eastAsia="Calibri" w:hAnsi="Calibri" w:cs="Calibri"/>
                <w:b/>
                <w:bCs/>
                <w:lang w:bidi="ar-DZ"/>
              </w:rPr>
              <w:t xml:space="preserve">: </w:t>
            </w:r>
            <w:r w:rsidRPr="00EA4D3D">
              <w:rPr>
                <w:rFonts w:ascii="Calibri" w:eastAsia="Calibri" w:hAnsi="Calibri" w:cs="Calibri"/>
                <w:b/>
                <w:bCs/>
                <w:sz w:val="20"/>
                <w:szCs w:val="20"/>
                <w:lang w:bidi="ar-DZ"/>
              </w:rPr>
              <w:t>Mr A. Boulegroune</w:t>
            </w:r>
          </w:p>
        </w:tc>
      </w:tr>
      <w:tr w:rsidR="00962301" w:rsidRPr="001805D9" w:rsidTr="00962301">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ind w:left="851" w:hanging="851"/>
              <w:jc w:val="lowKashida"/>
              <w:rPr>
                <w:rFonts w:ascii="Calibri" w:eastAsia="Calibri" w:hAnsi="Calibri" w:cs="Calibri"/>
                <w:lang w:bidi="ar-DZ"/>
              </w:rPr>
            </w:pPr>
            <w:r w:rsidRPr="00EA4D3D">
              <w:rPr>
                <w:rFonts w:ascii="Calibri" w:eastAsia="Calibri" w:hAnsi="Calibri" w:cs="Calibri"/>
                <w:b/>
                <w:bCs/>
                <w:sz w:val="20"/>
                <w:szCs w:val="20"/>
                <w:u w:val="single"/>
                <w:lang w:bidi="ar-DZ"/>
              </w:rPr>
              <w:t>Option</w:t>
            </w:r>
            <w:r w:rsidRPr="00EA4D3D">
              <w:rPr>
                <w:rFonts w:ascii="Calibri" w:eastAsia="Calibri" w:hAnsi="Calibri" w:cs="Calibri"/>
                <w:b/>
                <w:bCs/>
                <w:sz w:val="20"/>
                <w:szCs w:val="20"/>
                <w:lang w:bidi="ar-DZ"/>
              </w:rPr>
              <w:t>: Literature and Civilization</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962301" w:rsidRPr="00962301" w:rsidRDefault="00962301" w:rsidP="00962301">
            <w:pPr>
              <w:spacing w:after="0" w:line="240" w:lineRule="auto"/>
              <w:jc w:val="center"/>
              <w:rPr>
                <w:rFonts w:ascii="Calibri" w:eastAsia="Calibri" w:hAnsi="Calibri" w:cs="Calibri"/>
                <w:sz w:val="20"/>
                <w:szCs w:val="20"/>
                <w:lang w:val="en-US" w:bidi="ar-DZ"/>
              </w:rPr>
            </w:pPr>
            <w:r w:rsidRPr="00962301">
              <w:rPr>
                <w:rFonts w:ascii="Calibri" w:eastAsia="Calibri" w:hAnsi="Calibri" w:cs="Calibri"/>
                <w:b/>
                <w:bCs/>
                <w:sz w:val="20"/>
                <w:szCs w:val="20"/>
                <w:lang w:val="en-US" w:bidi="ar-DZ"/>
              </w:rPr>
              <w:t>Faculty of Letters and Languages</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jc w:val="lowKashida"/>
              <w:rPr>
                <w:rFonts w:ascii="Calibri" w:eastAsia="Calibri" w:hAnsi="Calibri" w:cs="Calibri"/>
                <w:lang w:bidi="ar-DZ"/>
              </w:rPr>
            </w:pPr>
            <w:r w:rsidRPr="00EA4D3D">
              <w:rPr>
                <w:rFonts w:ascii="Calibri" w:eastAsia="Calibri" w:hAnsi="Calibri" w:cs="Calibri"/>
                <w:b/>
                <w:bCs/>
                <w:u w:val="single"/>
                <w:lang w:bidi="ar-DZ"/>
              </w:rPr>
              <w:t>Academic Year</w:t>
            </w:r>
            <w:r w:rsidRPr="00EA4D3D">
              <w:rPr>
                <w:rFonts w:ascii="Calibri" w:eastAsia="Calibri" w:hAnsi="Calibri" w:cs="Calibri"/>
                <w:b/>
                <w:bCs/>
                <w:lang w:bidi="ar-DZ"/>
              </w:rPr>
              <w:t xml:space="preserve">: </w:t>
            </w:r>
            <w:r w:rsidRPr="00EA4D3D">
              <w:rPr>
                <w:rFonts w:ascii="Calibri" w:eastAsia="Calibri" w:hAnsi="Calibri" w:cs="Calibri"/>
                <w:b/>
                <w:bCs/>
                <w:sz w:val="20"/>
                <w:szCs w:val="20"/>
                <w:lang w:bidi="ar-DZ"/>
              </w:rPr>
              <w:t>202</w:t>
            </w:r>
            <w:r>
              <w:rPr>
                <w:rFonts w:ascii="Calibri" w:eastAsia="Calibri" w:hAnsi="Calibri" w:cs="Calibri"/>
                <w:b/>
                <w:bCs/>
                <w:sz w:val="20"/>
                <w:szCs w:val="20"/>
                <w:lang w:bidi="ar-DZ"/>
              </w:rPr>
              <w:t>4</w:t>
            </w:r>
            <w:r w:rsidRPr="00EA4D3D">
              <w:rPr>
                <w:rFonts w:ascii="Calibri" w:eastAsia="Calibri" w:hAnsi="Calibri" w:cs="Calibri"/>
                <w:b/>
                <w:bCs/>
                <w:sz w:val="20"/>
                <w:szCs w:val="20"/>
                <w:lang w:bidi="ar-DZ"/>
              </w:rPr>
              <w:t>-202</w:t>
            </w:r>
            <w:r>
              <w:rPr>
                <w:rFonts w:ascii="Calibri" w:eastAsia="Calibri" w:hAnsi="Calibri" w:cs="Calibri"/>
                <w:b/>
                <w:bCs/>
                <w:sz w:val="20"/>
                <w:szCs w:val="20"/>
                <w:lang w:bidi="ar-DZ"/>
              </w:rPr>
              <w:t>5</w:t>
            </w:r>
          </w:p>
        </w:tc>
      </w:tr>
      <w:tr w:rsidR="00962301" w:rsidRPr="00344CFF" w:rsidTr="00962301">
        <w:tc>
          <w:tcPr>
            <w:tcW w:w="336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ind w:left="567" w:hanging="567"/>
              <w:rPr>
                <w:rFonts w:ascii="Calibri" w:eastAsia="Calibri" w:hAnsi="Calibri" w:cs="Calibri"/>
                <w:b/>
                <w:bCs/>
                <w:lang w:bidi="ar-DZ"/>
              </w:rPr>
            </w:pPr>
            <w:r w:rsidRPr="00EA4D3D">
              <w:rPr>
                <w:rFonts w:ascii="Calibri" w:eastAsia="Calibri" w:hAnsi="Calibri" w:cs="Calibri"/>
                <w:b/>
                <w:bCs/>
                <w:u w:val="single"/>
                <w:lang w:bidi="ar-DZ"/>
              </w:rPr>
              <w:t>Module</w:t>
            </w:r>
            <w:r w:rsidRPr="00EA4D3D">
              <w:rPr>
                <w:rFonts w:ascii="Calibri" w:eastAsia="Calibri" w:hAnsi="Calibri" w:cs="Calibri"/>
                <w:b/>
                <w:bCs/>
                <w:lang w:bidi="ar-DZ"/>
              </w:rPr>
              <w:t xml:space="preserve">: </w:t>
            </w:r>
            <w:r w:rsidRPr="00EA4D3D">
              <w:rPr>
                <w:rFonts w:ascii="Calibri" w:eastAsia="Calibri" w:hAnsi="Calibri" w:cs="Calibri"/>
                <w:b/>
                <w:bCs/>
                <w:sz w:val="20"/>
                <w:szCs w:val="20"/>
                <w:lang w:bidi="ar-DZ"/>
              </w:rPr>
              <w:t>Literary Theory &amp; Criticism</w:t>
            </w:r>
          </w:p>
        </w:tc>
        <w:tc>
          <w:tcPr>
            <w:tcW w:w="4110" w:type="dxa"/>
            <w:tcBorders>
              <w:top w:val="single" w:sz="4" w:space="0" w:color="FFFFFF"/>
              <w:left w:val="single" w:sz="4" w:space="0" w:color="FFFFFF"/>
              <w:bottom w:val="single" w:sz="4" w:space="0" w:color="FFFFFF"/>
              <w:right w:val="single" w:sz="4" w:space="0" w:color="FFFFFF"/>
            </w:tcBorders>
            <w:shd w:val="clear" w:color="auto" w:fill="FFFFFF"/>
          </w:tcPr>
          <w:p w:rsidR="00962301" w:rsidRPr="00962301" w:rsidRDefault="00962301" w:rsidP="00962301">
            <w:pPr>
              <w:spacing w:after="0" w:line="240" w:lineRule="auto"/>
              <w:jc w:val="center"/>
              <w:rPr>
                <w:rFonts w:ascii="Calibri" w:eastAsia="Calibri" w:hAnsi="Calibri" w:cs="Calibri"/>
                <w:sz w:val="20"/>
                <w:szCs w:val="20"/>
                <w:lang w:val="en-US" w:bidi="ar-DZ"/>
              </w:rPr>
            </w:pPr>
            <w:r w:rsidRPr="00962301">
              <w:rPr>
                <w:rFonts w:ascii="Calibri" w:eastAsia="Calibri" w:hAnsi="Calibri" w:cs="Calibri"/>
                <w:b/>
                <w:bCs/>
                <w:sz w:val="20"/>
                <w:szCs w:val="20"/>
                <w:lang w:val="en-US" w:bidi="ar-DZ"/>
              </w:rPr>
              <w:t>Department of English Language &amp; Literature</w:t>
            </w:r>
          </w:p>
        </w:tc>
        <w:tc>
          <w:tcPr>
            <w:tcW w:w="2709" w:type="dxa"/>
            <w:gridSpan w:val="2"/>
            <w:tcBorders>
              <w:top w:val="single" w:sz="4" w:space="0" w:color="FFFFFF"/>
              <w:left w:val="single" w:sz="4" w:space="0" w:color="FFFFFF"/>
              <w:bottom w:val="single" w:sz="4" w:space="0" w:color="FFFFFF"/>
              <w:right w:val="single" w:sz="4" w:space="0" w:color="FFFFFF"/>
            </w:tcBorders>
            <w:shd w:val="clear" w:color="auto" w:fill="FFFFFF"/>
          </w:tcPr>
          <w:p w:rsidR="00962301" w:rsidRPr="00EA4D3D" w:rsidRDefault="00962301" w:rsidP="00962301">
            <w:pPr>
              <w:spacing w:after="0" w:line="240" w:lineRule="auto"/>
              <w:jc w:val="lowKashida"/>
              <w:rPr>
                <w:rFonts w:ascii="Calibri" w:eastAsia="Calibri" w:hAnsi="Calibri" w:cs="Calibri"/>
                <w:b/>
                <w:bCs/>
                <w:lang w:bidi="ar-DZ"/>
              </w:rPr>
            </w:pPr>
            <w:r w:rsidRPr="00EA4D3D">
              <w:rPr>
                <w:rFonts w:ascii="Calibri" w:eastAsia="Calibri" w:hAnsi="Calibri" w:cs="Calibri"/>
                <w:b/>
                <w:bCs/>
                <w:u w:val="single"/>
                <w:lang w:bidi="ar-DZ"/>
              </w:rPr>
              <w:t>Semester</w:t>
            </w:r>
            <w:r w:rsidRPr="00EA4D3D">
              <w:rPr>
                <w:rFonts w:ascii="Calibri" w:eastAsia="Calibri" w:hAnsi="Calibri" w:cs="Calibri"/>
                <w:b/>
                <w:bCs/>
                <w:lang w:bidi="ar-DZ"/>
              </w:rPr>
              <w:t>: I</w:t>
            </w:r>
          </w:p>
        </w:tc>
      </w:tr>
      <w:tr w:rsidR="00962301" w:rsidRPr="00BC27FB" w:rsidTr="00962301">
        <w:trPr>
          <w:gridBefore w:val="1"/>
          <w:gridAfter w:val="1"/>
          <w:wBefore w:w="1101" w:type="dxa"/>
          <w:wAfter w:w="866" w:type="dxa"/>
        </w:trPr>
        <w:tc>
          <w:tcPr>
            <w:tcW w:w="8221" w:type="dxa"/>
            <w:gridSpan w:val="3"/>
            <w:tcBorders>
              <w:top w:val="single" w:sz="4" w:space="0" w:color="FFFFFF"/>
              <w:left w:val="single" w:sz="4" w:space="0" w:color="FFFFFF"/>
              <w:bottom w:val="single" w:sz="4" w:space="0" w:color="FFFFFF"/>
              <w:right w:val="single" w:sz="4" w:space="0" w:color="FFFFFF"/>
            </w:tcBorders>
            <w:shd w:val="clear" w:color="auto" w:fill="FFFFFF"/>
          </w:tcPr>
          <w:p w:rsidR="00962301" w:rsidRPr="002C287F" w:rsidRDefault="00962301" w:rsidP="009251A9">
            <w:pPr>
              <w:spacing w:before="120" w:after="120" w:line="240" w:lineRule="auto"/>
              <w:jc w:val="center"/>
              <w:rPr>
                <w:rFonts w:ascii="Bodoni MT Black" w:eastAsia="Calibri" w:hAnsi="Bodoni MT Black" w:cs="Calibri"/>
                <w:b/>
                <w:bCs/>
                <w:sz w:val="26"/>
                <w:szCs w:val="26"/>
                <w:lang w:val="en-US" w:bidi="ar-DZ"/>
              </w:rPr>
            </w:pPr>
            <w:r w:rsidRPr="002C287F">
              <w:rPr>
                <w:rFonts w:ascii="Bodoni MT Black" w:eastAsia="Calibri" w:hAnsi="Bodoni MT Black" w:cs="Calibri"/>
                <w:b/>
                <w:bCs/>
                <w:sz w:val="26"/>
                <w:szCs w:val="26"/>
                <w:lang w:val="en-US" w:eastAsia="fr-FR"/>
              </w:rPr>
              <w:t xml:space="preserve">Tutorial </w:t>
            </w:r>
            <w:r w:rsidRPr="002C287F">
              <w:rPr>
                <w:rFonts w:ascii="Calibri" w:eastAsia="Calibri" w:hAnsi="Calibri" w:cs="Calibri"/>
                <w:b/>
                <w:bCs/>
                <w:sz w:val="26"/>
                <w:szCs w:val="26"/>
                <w:lang w:val="en-US" w:eastAsia="fr-FR"/>
              </w:rPr>
              <w:t>№</w:t>
            </w:r>
            <w:r w:rsidRPr="002C287F">
              <w:rPr>
                <w:rFonts w:ascii="Bodoni MT Black" w:eastAsia="Calibri" w:hAnsi="Bodoni MT Black" w:cs="Calibri"/>
                <w:b/>
                <w:bCs/>
                <w:sz w:val="26"/>
                <w:szCs w:val="26"/>
                <w:lang w:val="en-US" w:eastAsia="fr-FR"/>
              </w:rPr>
              <w:t xml:space="preserve"> 0</w:t>
            </w:r>
            <w:r w:rsidR="00BB0EDB">
              <w:rPr>
                <w:rFonts w:ascii="Bodoni MT Black" w:eastAsia="Calibri" w:hAnsi="Bodoni MT Black" w:cs="Calibri"/>
                <w:b/>
                <w:bCs/>
                <w:sz w:val="26"/>
                <w:szCs w:val="26"/>
                <w:lang w:val="en-US" w:eastAsia="fr-FR"/>
              </w:rPr>
              <w:t>1</w:t>
            </w:r>
            <w:r w:rsidRPr="002C287F">
              <w:rPr>
                <w:rFonts w:ascii="Bodoni MT Black" w:eastAsia="Calibri" w:hAnsi="Bodoni MT Black" w:cs="Calibri"/>
                <w:b/>
                <w:bCs/>
                <w:sz w:val="26"/>
                <w:szCs w:val="26"/>
                <w:lang w:val="en-US" w:eastAsia="fr-FR"/>
              </w:rPr>
              <w:t xml:space="preserve">: Application of </w:t>
            </w:r>
            <w:r w:rsidRPr="002C287F">
              <w:rPr>
                <w:rFonts w:ascii="Bodoni MT Black" w:hAnsi="Bodoni MT Black" w:cs="Calibri"/>
                <w:b/>
                <w:bCs/>
                <w:sz w:val="26"/>
                <w:szCs w:val="26"/>
                <w:lang w:val="en-US" w:eastAsia="fr-FR"/>
              </w:rPr>
              <w:t>Biographical Criticism</w:t>
            </w:r>
            <w:r w:rsidRPr="002C287F">
              <w:rPr>
                <w:rFonts w:ascii="Bodoni MT Black" w:eastAsia="Calibri" w:hAnsi="Bodoni MT Black" w:cs="Calibri"/>
                <w:b/>
                <w:bCs/>
                <w:sz w:val="26"/>
                <w:szCs w:val="26"/>
                <w:lang w:val="en-US" w:eastAsia="fr-FR"/>
              </w:rPr>
              <w:t xml:space="preserve"> to the Analysis of</w:t>
            </w:r>
            <w:r w:rsidRPr="002C287F">
              <w:rPr>
                <w:rFonts w:asciiTheme="majorBidi" w:hAnsiTheme="majorBidi" w:cstheme="majorBidi"/>
                <w:b/>
                <w:bCs/>
                <w:sz w:val="26"/>
                <w:szCs w:val="26"/>
                <w:lang w:val="en-US"/>
              </w:rPr>
              <w:t xml:space="preserve"> </w:t>
            </w:r>
            <w:r w:rsidRPr="002C287F">
              <w:rPr>
                <w:rFonts w:ascii="Bodoni MT Black" w:hAnsi="Bodoni MT Black" w:cs="Calibri"/>
                <w:b/>
                <w:bCs/>
                <w:sz w:val="26"/>
                <w:szCs w:val="26"/>
                <w:lang w:val="en-US" w:eastAsia="fr-FR"/>
              </w:rPr>
              <w:t xml:space="preserve">Jane Austen’s </w:t>
            </w:r>
            <w:r w:rsidRPr="002C287F">
              <w:rPr>
                <w:rFonts w:ascii="Bodoni MT Black" w:hAnsi="Bodoni MT Black" w:cs="Calibri"/>
                <w:i/>
                <w:iCs/>
                <w:sz w:val="26"/>
                <w:szCs w:val="26"/>
                <w:lang w:val="en-US" w:eastAsia="fr-FR"/>
              </w:rPr>
              <w:t>Pride and Prejudic</w:t>
            </w:r>
            <w:r w:rsidRPr="002C287F">
              <w:rPr>
                <w:rFonts w:ascii="Bodoni MT Black" w:hAnsi="Bodoni MT Black" w:cs="Calibri"/>
                <w:b/>
                <w:bCs/>
                <w:sz w:val="26"/>
                <w:szCs w:val="26"/>
                <w:lang w:val="en-US" w:eastAsia="fr-FR"/>
              </w:rPr>
              <w:t>e</w:t>
            </w:r>
            <w:r w:rsidRPr="002C287F">
              <w:rPr>
                <w:rFonts w:ascii="Bodoni MT Black" w:eastAsia="Calibri" w:hAnsi="Bodoni MT Black" w:cs="Calibri"/>
                <w:b/>
                <w:bCs/>
                <w:sz w:val="26"/>
                <w:szCs w:val="26"/>
                <w:lang w:val="en-US" w:bidi="ar-DZ"/>
              </w:rPr>
              <w:t xml:space="preserve">  </w:t>
            </w:r>
          </w:p>
        </w:tc>
      </w:tr>
    </w:tbl>
    <w:p w:rsidR="002317DD" w:rsidRPr="000772B8" w:rsidRDefault="004D4F88" w:rsidP="005F750B">
      <w:pPr>
        <w:spacing w:after="0" w:line="240" w:lineRule="auto"/>
        <w:jc w:val="both"/>
        <w:outlineLvl w:val="0"/>
        <w:rPr>
          <w:rFonts w:eastAsia="Times New Roman" w:cstheme="minorHAnsi"/>
          <w:b/>
          <w:bCs/>
          <w:kern w:val="36"/>
          <w:lang w:val="en-US" w:eastAsia="fr-FR"/>
        </w:rPr>
      </w:pPr>
      <w:r w:rsidRPr="000772B8">
        <w:rPr>
          <w:rFonts w:eastAsia="Times New Roman" w:cstheme="minorHAnsi"/>
          <w:b/>
          <w:bCs/>
          <w:kern w:val="36"/>
          <w:lang w:val="en-US" w:eastAsia="fr-FR"/>
        </w:rPr>
        <w:t xml:space="preserve">1. </w:t>
      </w:r>
      <w:r w:rsidR="00845D7B" w:rsidRPr="000772B8">
        <w:rPr>
          <w:rFonts w:eastAsia="Times New Roman" w:cstheme="minorHAnsi"/>
          <w:b/>
          <w:bCs/>
          <w:kern w:val="36"/>
          <w:lang w:val="en-US" w:eastAsia="fr-FR"/>
        </w:rPr>
        <w:t xml:space="preserve">A Brief </w:t>
      </w:r>
      <w:r w:rsidR="002317DD" w:rsidRPr="000772B8">
        <w:rPr>
          <w:rFonts w:eastAsia="Times New Roman" w:cstheme="minorHAnsi"/>
          <w:b/>
          <w:bCs/>
          <w:kern w:val="36"/>
          <w:lang w:val="en-US" w:eastAsia="fr-FR"/>
        </w:rPr>
        <w:t>Biography of Jane Austen</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Born on December 16, 1775, Jane Austen was the seventh of eight children born to George and Cassandra Austen. The family lived in Steventon, a small Hampshire town in south-central England, where her father was a minister. The Austens were a loving, spirited family that read novels together from the local circulating library and put on home theatricals. It was for the family circle that Austen first wrote high-spirited satires — some of which later became novels after numerous and careful rewritings.</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Out of her seven siblings, Austen was closest to her only sister, Cassandra. From 1783 to 1785, the two girls attended schools in Oxford and Southampton and the Abbey School at Reading. When the Austens could no longer afford the tuition, Jane and Cassandra returned home to read extensively and learn from their family how to speak French and Italian and play the piano. Most accounts agree that the Austen daughters were pretty and enjoyed the slightly limited but interesting round of country parties described in Austen's novels.</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When Austen was twenty, she met Tom Lefroy, a young Irishman visiting his uncle in Hampshire. Seeing that the two young people were on the verge of an engagement, Lefroy's family sent him home rather than letting him attach himself to someone as poor as a clergyman's daughter. Austen's second brush with marriage occurred at age twenty-seven, when the wealthy Harris Bigg-Wither proposed and Austen accepted. The next morning, however, Austen changed her mind, giving up the wealth and security inherent in such a match because she did not love him. Although Austen never married, the emphasis of courtship and marriage in her novels demonstrates the impact that these experiences had on her and her interest in love and marriage.</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 xml:space="preserve">Austen lived the last eight years of her life in Chawton. Her personal life continued to be limited to family and close friends, and she prized herself on being a warm and loving aunt as much as being a successful novelist. A sudden illness, possibly Addison's disease, made her stop work on the novel </w:t>
      </w:r>
      <w:r w:rsidRPr="000772B8">
        <w:rPr>
          <w:rFonts w:eastAsia="Times New Roman" w:cstheme="minorHAnsi"/>
          <w:i/>
          <w:iCs/>
          <w:lang w:val="en-US" w:eastAsia="fr-FR"/>
        </w:rPr>
        <w:t>Sandition</w:t>
      </w:r>
      <w:r w:rsidRPr="000772B8">
        <w:rPr>
          <w:rFonts w:eastAsia="Times New Roman" w:cstheme="minorHAnsi"/>
          <w:lang w:val="en-US" w:eastAsia="fr-FR"/>
        </w:rPr>
        <w:t>, and she died in 1817.</w:t>
      </w:r>
    </w:p>
    <w:p w:rsidR="00544B67" w:rsidRPr="000C0DB2" w:rsidRDefault="00544B67" w:rsidP="00544B67">
      <w:pPr>
        <w:spacing w:after="0"/>
        <w:jc w:val="both"/>
        <w:rPr>
          <w:rFonts w:eastAsia="Times New Roman" w:cstheme="minorHAnsi"/>
          <w:sz w:val="16"/>
          <w:szCs w:val="16"/>
          <w:lang w:val="en-US" w:eastAsia="fr-FR"/>
        </w:rPr>
      </w:pPr>
    </w:p>
    <w:p w:rsidR="00544B67" w:rsidRPr="000772B8" w:rsidRDefault="004D4F88" w:rsidP="00544B67">
      <w:pPr>
        <w:spacing w:after="0"/>
        <w:jc w:val="both"/>
        <w:rPr>
          <w:rFonts w:eastAsia="Times New Roman" w:cstheme="minorHAnsi"/>
          <w:b/>
          <w:bCs/>
          <w:lang w:val="en-US" w:eastAsia="fr-FR"/>
        </w:rPr>
      </w:pPr>
      <w:r w:rsidRPr="000772B8">
        <w:rPr>
          <w:rFonts w:eastAsia="Times New Roman" w:cstheme="minorHAnsi"/>
          <w:b/>
          <w:bCs/>
          <w:lang w:val="en-US" w:eastAsia="fr-FR"/>
        </w:rPr>
        <w:t xml:space="preserve">2. </w:t>
      </w:r>
      <w:r w:rsidR="00544B67" w:rsidRPr="000772B8">
        <w:rPr>
          <w:rFonts w:eastAsia="Times New Roman" w:cstheme="minorHAnsi"/>
          <w:b/>
          <w:bCs/>
          <w:lang w:val="en-US" w:eastAsia="fr-FR"/>
        </w:rPr>
        <w:t>Status of Women during Austen’s Lifetime</w:t>
      </w:r>
    </w:p>
    <w:p w:rsidR="00544B67" w:rsidRPr="000772B8" w:rsidRDefault="00544B67" w:rsidP="0046530B">
      <w:pPr>
        <w:spacing w:after="0" w:line="240" w:lineRule="auto"/>
        <w:jc w:val="both"/>
        <w:rPr>
          <w:rFonts w:eastAsia="Times New Roman" w:cstheme="minorHAnsi"/>
          <w:lang w:val="en-US" w:eastAsia="fr-FR"/>
        </w:rPr>
      </w:pPr>
      <w:r w:rsidRPr="000772B8">
        <w:rPr>
          <w:rFonts w:cstheme="minorHAnsi"/>
          <w:lang w:val="en-US"/>
        </w:rPr>
        <w:t>Women were afforded very few rights in the eighteenth century. Women could not hold office or vote.  Before her marriage a woman was in the care of her father and her legal rights were transferred to her husband after marriage.  Women were not allowed custody of her children unless her husband ha</w:t>
      </w:r>
      <w:r w:rsidR="007A73F2" w:rsidRPr="000772B8">
        <w:rPr>
          <w:rFonts w:cstheme="minorHAnsi"/>
          <w:lang w:val="en-US"/>
        </w:rPr>
        <w:t>s named her the legal guardian.</w:t>
      </w:r>
      <w:r w:rsidRPr="000772B8">
        <w:rPr>
          <w:rFonts w:cstheme="minorHAnsi"/>
          <w:lang w:val="en-US"/>
        </w:rPr>
        <w:t xml:space="preserve"> </w:t>
      </w:r>
      <w:r w:rsidR="007A73F2" w:rsidRPr="000772B8">
        <w:rPr>
          <w:rFonts w:cstheme="minorHAnsi"/>
          <w:lang w:val="en-US"/>
        </w:rPr>
        <w:t>W</w:t>
      </w:r>
      <w:r w:rsidRPr="000772B8">
        <w:rPr>
          <w:rFonts w:cstheme="minorHAnsi"/>
          <w:lang w:val="en-US"/>
        </w:rPr>
        <w:t>omen's economic rights were also very limited.  Women could not own or inherit land.  If a woman had land or property before she got married it became the property of her husband after they wed; "daughters of wealthy fathers frequently became [the] prey of fortune-seeking men." Women did not manage money; it was usually managed by a man. If a wom</w:t>
      </w:r>
      <w:r w:rsidR="00FF0FB6" w:rsidRPr="000772B8">
        <w:rPr>
          <w:rFonts w:cstheme="minorHAnsi"/>
          <w:lang w:val="en-US"/>
        </w:rPr>
        <w:t>a</w:t>
      </w:r>
      <w:r w:rsidRPr="000772B8">
        <w:rPr>
          <w:rFonts w:cstheme="minorHAnsi"/>
          <w:lang w:val="en-US"/>
        </w:rPr>
        <w:t xml:space="preserve">n did try to work she was looked down upon "because of the stigma attached to a woman who earned money through working." Most women were resigned to marriage in order to have "economic security and a respectable, fulfilling life." </w:t>
      </w:r>
      <w:r w:rsidR="007A73F2" w:rsidRPr="000772B8">
        <w:rPr>
          <w:rFonts w:cstheme="minorHAnsi"/>
          <w:lang w:val="en-US"/>
        </w:rPr>
        <w:t>M</w:t>
      </w:r>
      <w:r w:rsidRPr="000772B8">
        <w:rPr>
          <w:rFonts w:cstheme="minorHAnsi"/>
          <w:lang w:val="en-US"/>
        </w:rPr>
        <w:t>arriage was traditionally "regarded as an alliance between families,</w:t>
      </w:r>
      <w:r w:rsidR="00FF0FB6" w:rsidRPr="000772B8">
        <w:rPr>
          <w:rFonts w:cstheme="minorHAnsi"/>
          <w:lang w:val="en-US"/>
        </w:rPr>
        <w:t xml:space="preserve"> [</w:t>
      </w:r>
      <w:r w:rsidRPr="000772B8">
        <w:rPr>
          <w:rFonts w:cstheme="minorHAnsi"/>
          <w:lang w:val="en-US"/>
        </w:rPr>
        <w:t>...</w:t>
      </w:r>
      <w:r w:rsidR="00FF0FB6" w:rsidRPr="000772B8">
        <w:rPr>
          <w:rFonts w:cstheme="minorHAnsi"/>
          <w:lang w:val="en-US"/>
        </w:rPr>
        <w:t>]</w:t>
      </w:r>
      <w:r w:rsidR="007A73F2" w:rsidRPr="000772B8">
        <w:rPr>
          <w:rFonts w:cstheme="minorHAnsi"/>
          <w:lang w:val="en-US"/>
        </w:rPr>
        <w:t xml:space="preserve"> </w:t>
      </w:r>
      <w:r w:rsidRPr="000772B8">
        <w:rPr>
          <w:rFonts w:cstheme="minorHAnsi"/>
          <w:lang w:val="en-US"/>
        </w:rPr>
        <w:t>a pairing on the basis of wealth or birth, or</w:t>
      </w:r>
      <w:r w:rsidR="00FF0FB6" w:rsidRPr="000772B8">
        <w:rPr>
          <w:rFonts w:cstheme="minorHAnsi"/>
          <w:lang w:val="en-US"/>
        </w:rPr>
        <w:t xml:space="preserve"> [</w:t>
      </w:r>
      <w:r w:rsidRPr="000772B8">
        <w:rPr>
          <w:rFonts w:cstheme="minorHAnsi"/>
          <w:lang w:val="en-US"/>
        </w:rPr>
        <w:t>...</w:t>
      </w:r>
      <w:r w:rsidR="00FF0FB6" w:rsidRPr="000772B8">
        <w:rPr>
          <w:rFonts w:cstheme="minorHAnsi"/>
          <w:lang w:val="en-US"/>
        </w:rPr>
        <w:t xml:space="preserve">] </w:t>
      </w:r>
      <w:r w:rsidRPr="000772B8">
        <w:rPr>
          <w:rFonts w:cstheme="minorHAnsi"/>
          <w:lang w:val="en-US"/>
        </w:rPr>
        <w:t>an arrangement made by parents without regard to personal preferences of the young woman and young man</w:t>
      </w:r>
      <w:r w:rsidR="007A73F2" w:rsidRPr="000772B8">
        <w:rPr>
          <w:rFonts w:cstheme="minorHAnsi"/>
          <w:lang w:val="en-US"/>
        </w:rPr>
        <w:t>.</w:t>
      </w:r>
      <w:r w:rsidRPr="000772B8">
        <w:rPr>
          <w:rFonts w:cstheme="minorHAnsi"/>
          <w:lang w:val="en-US"/>
        </w:rPr>
        <w:t xml:space="preserve"> Later in the eighteenth century</w:t>
      </w:r>
      <w:r w:rsidR="007A73F2" w:rsidRPr="000772B8">
        <w:rPr>
          <w:rFonts w:cstheme="minorHAnsi"/>
          <w:lang w:val="en-US"/>
        </w:rPr>
        <w:t>,</w:t>
      </w:r>
      <w:r w:rsidRPr="000772B8">
        <w:rPr>
          <w:rFonts w:cstheme="minorHAnsi"/>
          <w:lang w:val="en-US"/>
        </w:rPr>
        <w:t xml:space="preserve"> the attitude toward marriage was changing.  They started to view marriage "as a lifetime, intimate, happy companionship based upon love, esteem, and compatibility, and both the woman and man were to have voice in choosing the spouse</w:t>
      </w:r>
      <w:r w:rsidR="00E32075" w:rsidRPr="000772B8">
        <w:rPr>
          <w:rFonts w:cstheme="minorHAnsi"/>
          <w:lang w:val="en-US"/>
        </w:rPr>
        <w:t>.</w:t>
      </w:r>
      <w:r w:rsidRPr="000772B8">
        <w:rPr>
          <w:rFonts w:cstheme="minorHAnsi"/>
          <w:lang w:val="en-US"/>
        </w:rPr>
        <w:t xml:space="preserve">" </w:t>
      </w:r>
    </w:p>
    <w:p w:rsidR="00C21F84" w:rsidRPr="000C0DB2" w:rsidRDefault="00C21F84" w:rsidP="00C21F84">
      <w:pPr>
        <w:spacing w:after="0" w:line="240" w:lineRule="auto"/>
        <w:jc w:val="both"/>
        <w:rPr>
          <w:rFonts w:eastAsia="Times New Roman" w:cstheme="minorHAnsi"/>
          <w:b/>
          <w:bCs/>
          <w:sz w:val="16"/>
          <w:szCs w:val="16"/>
          <w:lang w:val="en-US" w:eastAsia="fr-FR"/>
        </w:rPr>
      </w:pPr>
    </w:p>
    <w:p w:rsidR="00C21F84" w:rsidRPr="000772B8" w:rsidRDefault="004D4F88" w:rsidP="005F750B">
      <w:pPr>
        <w:spacing w:after="0" w:line="240" w:lineRule="auto"/>
        <w:jc w:val="both"/>
        <w:rPr>
          <w:rFonts w:eastAsia="Times New Roman" w:cstheme="minorHAnsi"/>
          <w:lang w:val="en-US" w:eastAsia="fr-FR"/>
        </w:rPr>
      </w:pPr>
      <w:r w:rsidRPr="000772B8">
        <w:rPr>
          <w:rFonts w:eastAsia="Times New Roman" w:cstheme="minorHAnsi"/>
          <w:b/>
          <w:bCs/>
          <w:lang w:val="en-US" w:eastAsia="fr-FR"/>
        </w:rPr>
        <w:t xml:space="preserve">3. </w:t>
      </w:r>
      <w:r w:rsidR="00C24038" w:rsidRPr="000772B8">
        <w:rPr>
          <w:rFonts w:eastAsia="Times New Roman" w:cstheme="minorHAnsi"/>
          <w:b/>
          <w:bCs/>
          <w:lang w:val="en-US" w:eastAsia="fr-FR"/>
        </w:rPr>
        <w:t xml:space="preserve">Synopsis of Austen’s </w:t>
      </w:r>
      <w:r w:rsidR="00C21F84" w:rsidRPr="000772B8">
        <w:rPr>
          <w:rFonts w:eastAsia="Times New Roman" w:cstheme="minorHAnsi"/>
          <w:b/>
          <w:bCs/>
          <w:i/>
          <w:iCs/>
          <w:lang w:val="en-US" w:eastAsia="fr-FR"/>
        </w:rPr>
        <w:t>Pride and Prejudice</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The news that a wealthy young gentleman named Charles Bingley has rented the manor of Netherfield Park causes a great stir in the nearby village of Longbourn, especially in the Bennet household. The Bennets have five unmarried daughters—from oldest to youngest, Jane, Elizabeth, Mary, Kitty, and Lydia—and Mrs. Bennet is desperate to see them all married. After Mr. Bennet pays a social visit to Mr. Bingley, the Bennets attend a ball at which Mr. Bingley is present. He is taken with Jane and spends much of the evening dancing with her. His close friend, Mr. Darcy, is less pleased with the evening and haughtily refuses to dance with Elizabeth, which makes everyone view him as arrogant and obnoxious.</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 xml:space="preserve">At social functions over subsequent weeks, however, Mr. Darcy finds himself increasingly attracted to Elizabeth’s charm and intelligence. Jane’s friendship with Mr. Bingley also continues to burgeon, and Jane pays a visit to the Bingley mansion. On her journey to the house she is caught in a downpour and catches ill, forcing her to stay at Netherfield for several days. In order to tend to Jane, Elizabeth hikes through muddy fields and arrives with a spattered </w:t>
      </w:r>
      <w:r w:rsidRPr="000772B8">
        <w:rPr>
          <w:rFonts w:eastAsia="Times New Roman" w:cstheme="minorHAnsi"/>
          <w:lang w:val="en-US" w:eastAsia="fr-FR"/>
        </w:rPr>
        <w:lastRenderedPageBreak/>
        <w:t>dress, much to the disdain of the snobbish Miss Bingley, Charles Bingley’s sister. Miss Bingley’s spite only increases when she notices that Darcy, whom she is pursuing, pays quite a bit of attention to Elizabeth.</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When Elizabeth and Jane return home, they find Mr. Collins visiting their household. Mr. Collins is a young clergyman who stands to inherit Mr. Bennet’s property, which has been “entailed,” meaning that it can only be passed down to male heirs. Mr. Collins is a pompous fool, though he is quite enthralled by the Bennet girls. Shortly after his arrival, he makes a proposal of marriage to Elizabeth. She turns him down, wounding his pride. Meanwhile, the Bennet girls have become friendly with militia officers stationed in a nearby town. Among them is Wickham, a handsome young soldier who is friendly toward Elizabeth and tells her how Darcy cruelly cheated him out of an inheritance.</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At the beginning of winter, the Bingleys and Darcy leave Netherfield and return to London, much to Jane’s dismay. A further shock arrives with the news that Mr. Collins has become engaged to Charlotte Lucas, Elizabeth’s best friend and the poor daughter of a local knight. Charlotte explains to Elizabeth that she is getting older and needs the match for financial reasons. Charlotte and Mr. Collins get married and Elizabeth promises to visit them at their new home. As winter progresses, Jane visits the city to see friends (hoping also that she might see Mr. Bingley). However, Miss Bingley visits her and behaves rudely, while Mr. Bingley fails to visit her at all. The marriage prospects for the Bennet girls appear bleak.</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That spring, Elizabeth visits Charlotte, who now lives near the home of Mr. Collins’s patron, Lady Catherine de Bourgh, who is also Darcy’s aunt. Darcy calls on Lady Catherine and encounters Elizabeth, whose presence leads him to make a number of visits to the Collins’s home, where she is staying. One day, he makes a shocking proposal of marriage, which Elizabeth quickly refuses. She tells Darcy that she considers him arrogant and unpleasant, then scolds him for steering Bingley away from Jane and disinheriting Wickham. Darcy leaves her but shortly thereafter delivers a letter to her. In this letter, he admits that he urged Bingley to distance himself from Jane, but claims he did so only because he thought their romance was not serious. As for Wickham, he informs Elizabeth that the young officer is a liar and that the real cause of their disagreement was Wickham’s attempt to elope with his young sister, Georgiana Darcy.</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This letter causes Elizabeth to reevaluate her feelings about Darcy. She returns home and acts coldly toward Wickham. The militia is leaving town, which makes the younger, rather man-crazy Bennet girls distraught. Lydia manages to obtain permission from her father to spend the summer with an old colonel in Brighton, where Wickham’s regiment will be stationed. With the arrival of June, Elizabeth goes on another journey, this time with the Gardiners, who are relatives of the Bennets. The trip takes her to the North and eventually to the neighborhood of Pemberley, Darcy’s estate. She visits Pemberley, after making sure that Darcy is away, and delights in the building and grounds, while hearing from Darcy’s servants that he is a wonderful, generous master. Suddenly, Darcy arrives and behaves cordially toward her. Making no mention of his proposal, he entertains the Gardiners and invites Elizabeth to meet his sister.</w:t>
      </w:r>
    </w:p>
    <w:p w:rsidR="00C21F84" w:rsidRPr="000772B8"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Shortly thereafter, however, a letter arrives from home, telling Elizabeth that Lydia has eloped with Wickham and that the couple is nowhere to be found, which suggests that they may be living together out of wedlock. Fearful of the disgrace such a situation would bring on her entire family, Elizabeth hastens home. Mr. Gardiner and Mr. Bennet go off to search for Lydia, but Mr. Bennet eventually returns home empty-handed. Just when all hope seems lost, a letter comes from Mr. Gardiner saying that the couple has been found and that Wickham has agreed to marry Lydia in exchange for an annual income. The Bennets are convinced that Mr. Gardiner has paid off Wickham, but Elizabeth learns that the source of the money, and of her family’s salvation, was none other than Darcy.</w:t>
      </w:r>
    </w:p>
    <w:p w:rsidR="00C21F84" w:rsidRDefault="00C21F84" w:rsidP="005F750B">
      <w:pPr>
        <w:spacing w:after="0" w:line="240" w:lineRule="auto"/>
        <w:ind w:firstLine="708"/>
        <w:jc w:val="both"/>
        <w:rPr>
          <w:rFonts w:eastAsia="Times New Roman" w:cstheme="minorHAnsi"/>
          <w:lang w:val="en-US" w:eastAsia="fr-FR"/>
        </w:rPr>
      </w:pPr>
      <w:r w:rsidRPr="000772B8">
        <w:rPr>
          <w:rFonts w:eastAsia="Times New Roman" w:cstheme="minorHAnsi"/>
          <w:lang w:val="en-US" w:eastAsia="fr-FR"/>
        </w:rPr>
        <w:t>Now married, Wickham and Lydia return to Longbourn briefly, where Mr. Bennet treats them coldly. They then depart for Wickham’s new assignment in the North of England. Shortly thereafter, Bingley returns to Netherfield and resumes his courtship of Jane. Darcy goes to stay with him and pays visits to the Bennets but makes no mention of his desire to marry Elizabeth. Bingley, on the other hand, presses his suit and proposes to Jane, to the delight of everyone but Bingley’s haughty sister. While the family celebrates, Lady Catherine de Bourgh pays a visit to Longbourn. She corners Elizabeth and says that she has heard that Darcy, her nephew, is planning to marry her. Since she considers a Bennet an unsuitable match for a Darcy, Lady Catherine demands that Elizabeth promise to refuse him. Elizabeth spiritedly refuses, saying she is not engaged to Darcy, but she will not promise anything against her own happiness. A little later, Elizabeth and Darcy go out walking together and he tells her that his feelings have not altered since the spring. She tenderly accepts his proposal, and both Jane and Elizabeth are married.</w:t>
      </w:r>
    </w:p>
    <w:p w:rsidR="000772B8" w:rsidRPr="00A65A27" w:rsidRDefault="000772B8" w:rsidP="000772B8">
      <w:pPr>
        <w:spacing w:after="0" w:line="240" w:lineRule="auto"/>
        <w:jc w:val="both"/>
        <w:rPr>
          <w:rFonts w:eastAsia="Times New Roman" w:cstheme="minorHAnsi"/>
          <w:sz w:val="16"/>
          <w:szCs w:val="16"/>
          <w:lang w:val="en-US" w:eastAsia="fr-FR"/>
        </w:rPr>
      </w:pPr>
    </w:p>
    <w:p w:rsidR="000772B8" w:rsidRDefault="000772B8" w:rsidP="000772B8">
      <w:pPr>
        <w:spacing w:after="0" w:line="240" w:lineRule="auto"/>
        <w:jc w:val="both"/>
        <w:rPr>
          <w:rFonts w:eastAsia="Times New Roman" w:cstheme="minorHAnsi"/>
          <w:b/>
          <w:bCs/>
          <w:lang w:val="en-US" w:eastAsia="fr-FR"/>
        </w:rPr>
      </w:pPr>
      <w:r w:rsidRPr="000772B8">
        <w:rPr>
          <w:rFonts w:eastAsia="Times New Roman" w:cstheme="minorHAnsi"/>
          <w:b/>
          <w:bCs/>
          <w:u w:val="single"/>
          <w:lang w:val="en-US" w:eastAsia="fr-FR"/>
        </w:rPr>
        <w:t>Questions</w:t>
      </w:r>
      <w:r w:rsidRPr="000772B8">
        <w:rPr>
          <w:rFonts w:eastAsia="Times New Roman" w:cstheme="minorHAnsi"/>
          <w:b/>
          <w:bCs/>
          <w:lang w:val="en-US" w:eastAsia="fr-FR"/>
        </w:rPr>
        <w:t>:</w:t>
      </w:r>
    </w:p>
    <w:p w:rsidR="00D231B6" w:rsidRDefault="00BD128C" w:rsidP="00D231B6">
      <w:pPr>
        <w:pStyle w:val="Paragraphedeliste"/>
        <w:numPr>
          <w:ilvl w:val="0"/>
          <w:numId w:val="1"/>
        </w:numPr>
        <w:spacing w:after="0" w:line="240" w:lineRule="auto"/>
        <w:jc w:val="both"/>
        <w:rPr>
          <w:rFonts w:eastAsia="Times New Roman" w:cstheme="minorHAnsi"/>
          <w:lang w:val="en-US" w:eastAsia="fr-FR"/>
        </w:rPr>
      </w:pPr>
      <w:r>
        <w:rPr>
          <w:rFonts w:eastAsia="Times New Roman" w:cstheme="minorHAnsi"/>
          <w:lang w:val="en-US" w:eastAsia="fr-FR"/>
        </w:rPr>
        <w:t xml:space="preserve">In </w:t>
      </w:r>
      <w:r w:rsidRPr="00BD128C">
        <w:rPr>
          <w:rFonts w:eastAsia="Times New Roman" w:cstheme="minorHAnsi"/>
          <w:i/>
          <w:iCs/>
          <w:lang w:val="en-US" w:eastAsia="fr-FR"/>
        </w:rPr>
        <w:t>Pride and Prejudice</w:t>
      </w:r>
      <w:r>
        <w:rPr>
          <w:rFonts w:eastAsia="Times New Roman" w:cstheme="minorHAnsi"/>
          <w:lang w:val="en-US" w:eastAsia="fr-FR"/>
        </w:rPr>
        <w:t xml:space="preserve">, </w:t>
      </w:r>
      <w:r w:rsidR="00504768">
        <w:rPr>
          <w:rFonts w:eastAsia="Times New Roman" w:cstheme="minorHAnsi"/>
          <w:lang w:val="en-US" w:eastAsia="fr-FR"/>
        </w:rPr>
        <w:t>Austen correspond</w:t>
      </w:r>
      <w:r>
        <w:rPr>
          <w:rFonts w:eastAsia="Times New Roman" w:cstheme="minorHAnsi"/>
          <w:lang w:val="en-US" w:eastAsia="fr-FR"/>
        </w:rPr>
        <w:t xml:space="preserve">s </w:t>
      </w:r>
      <w:r w:rsidR="009E6143">
        <w:rPr>
          <w:rFonts w:eastAsia="Times New Roman" w:cstheme="minorHAnsi"/>
          <w:lang w:val="en-US" w:eastAsia="fr-FR"/>
        </w:rPr>
        <w:t xml:space="preserve">to </w:t>
      </w:r>
      <w:r w:rsidR="003820F0">
        <w:rPr>
          <w:rFonts w:eastAsia="Times New Roman" w:cstheme="minorHAnsi"/>
          <w:lang w:val="en-US" w:eastAsia="fr-FR"/>
        </w:rPr>
        <w:t>Elizabeth</w:t>
      </w:r>
      <w:r w:rsidR="00D231B6">
        <w:rPr>
          <w:rFonts w:eastAsia="Times New Roman" w:cstheme="minorHAnsi"/>
          <w:lang w:val="en-US" w:eastAsia="fr-FR"/>
        </w:rPr>
        <w:t>, yet Austen and Elizabeth have certain familial differences. How do you justify them?</w:t>
      </w:r>
    </w:p>
    <w:p w:rsidR="00FA264B" w:rsidRDefault="00FA264B" w:rsidP="003F3924">
      <w:pPr>
        <w:pStyle w:val="Paragraphedeliste"/>
        <w:numPr>
          <w:ilvl w:val="0"/>
          <w:numId w:val="1"/>
        </w:numPr>
        <w:spacing w:after="0" w:line="240" w:lineRule="auto"/>
        <w:jc w:val="both"/>
        <w:rPr>
          <w:rFonts w:eastAsia="Times New Roman" w:cstheme="minorHAnsi"/>
          <w:lang w:val="en-US" w:eastAsia="fr-FR"/>
        </w:rPr>
      </w:pPr>
      <w:r>
        <w:rPr>
          <w:rFonts w:eastAsia="Times New Roman" w:cstheme="minorHAnsi"/>
          <w:lang w:val="en-US" w:eastAsia="fr-FR"/>
        </w:rPr>
        <w:t>Examine</w:t>
      </w:r>
      <w:r w:rsidR="00BC27FB">
        <w:rPr>
          <w:rFonts w:eastAsia="Times New Roman" w:cstheme="minorHAnsi"/>
          <w:lang w:val="en-US" w:eastAsia="fr-FR"/>
        </w:rPr>
        <w:t xml:space="preserve"> the significance </w:t>
      </w:r>
      <w:r w:rsidR="003F3924">
        <w:rPr>
          <w:rFonts w:eastAsia="Times New Roman" w:cstheme="minorHAnsi"/>
          <w:lang w:val="en-US" w:eastAsia="fr-FR"/>
        </w:rPr>
        <w:t>of the convergence</w:t>
      </w:r>
      <w:r w:rsidR="00176D87">
        <w:rPr>
          <w:rFonts w:eastAsia="Times New Roman" w:cstheme="minorHAnsi"/>
          <w:lang w:val="en-US" w:eastAsia="fr-FR"/>
        </w:rPr>
        <w:t xml:space="preserve"> and di</w:t>
      </w:r>
      <w:r w:rsidR="003F3924">
        <w:rPr>
          <w:rFonts w:eastAsia="Times New Roman" w:cstheme="minorHAnsi"/>
          <w:lang w:val="en-US" w:eastAsia="fr-FR"/>
        </w:rPr>
        <w:t>vergence</w:t>
      </w:r>
      <w:r w:rsidR="00176D87">
        <w:rPr>
          <w:rFonts w:eastAsia="Times New Roman" w:cstheme="minorHAnsi"/>
          <w:lang w:val="en-US" w:eastAsia="fr-FR"/>
        </w:rPr>
        <w:t xml:space="preserve"> </w:t>
      </w:r>
      <w:r w:rsidR="003F3924">
        <w:rPr>
          <w:rFonts w:eastAsia="Times New Roman" w:cstheme="minorHAnsi"/>
          <w:lang w:val="en-US" w:eastAsia="fr-FR"/>
        </w:rPr>
        <w:t xml:space="preserve">of Austen and Darcy </w:t>
      </w:r>
      <w:r w:rsidR="00176D87">
        <w:rPr>
          <w:rFonts w:eastAsia="Times New Roman" w:cstheme="minorHAnsi"/>
          <w:lang w:val="en-US" w:eastAsia="fr-FR"/>
        </w:rPr>
        <w:t xml:space="preserve">in terms of their </w:t>
      </w:r>
      <w:r>
        <w:rPr>
          <w:rFonts w:eastAsia="Times New Roman" w:cstheme="minorHAnsi"/>
          <w:lang w:val="en-US" w:eastAsia="fr-FR"/>
        </w:rPr>
        <w:t>attitudes towards marriage</w:t>
      </w:r>
      <w:r w:rsidR="00176D87">
        <w:rPr>
          <w:rFonts w:eastAsia="Times New Roman" w:cstheme="minorHAnsi"/>
          <w:lang w:val="en-US" w:eastAsia="fr-FR"/>
        </w:rPr>
        <w:t>.</w:t>
      </w:r>
    </w:p>
    <w:p w:rsidR="000772B8" w:rsidRPr="000772B8" w:rsidRDefault="00EE35D4" w:rsidP="00207F85">
      <w:pPr>
        <w:pStyle w:val="Paragraphedeliste"/>
        <w:numPr>
          <w:ilvl w:val="0"/>
          <w:numId w:val="1"/>
        </w:numPr>
        <w:spacing w:after="0" w:line="240" w:lineRule="auto"/>
        <w:jc w:val="both"/>
        <w:rPr>
          <w:rFonts w:eastAsia="Times New Roman" w:cstheme="minorHAnsi"/>
          <w:lang w:val="en-US" w:eastAsia="fr-FR"/>
        </w:rPr>
      </w:pPr>
      <w:r>
        <w:rPr>
          <w:rFonts w:eastAsia="Times New Roman" w:cstheme="minorHAnsi"/>
          <w:lang w:val="en-US" w:eastAsia="fr-FR"/>
        </w:rPr>
        <w:t xml:space="preserve">How do Austen and Elizabeth react to </w:t>
      </w:r>
      <w:r w:rsidR="00207F85">
        <w:rPr>
          <w:rFonts w:eastAsia="Times New Roman" w:cstheme="minorHAnsi"/>
          <w:lang w:val="en-US" w:eastAsia="fr-FR"/>
        </w:rPr>
        <w:t xml:space="preserve">their </w:t>
      </w:r>
      <w:r>
        <w:rPr>
          <w:rFonts w:eastAsia="Times New Roman" w:cstheme="minorHAnsi"/>
          <w:lang w:val="en-US" w:eastAsia="fr-FR"/>
        </w:rPr>
        <w:t>soci</w:t>
      </w:r>
      <w:r w:rsidR="0021142E">
        <w:rPr>
          <w:rFonts w:eastAsia="Times New Roman" w:cstheme="minorHAnsi"/>
          <w:lang w:val="en-US" w:eastAsia="fr-FR"/>
        </w:rPr>
        <w:t>etal</w:t>
      </w:r>
      <w:r>
        <w:rPr>
          <w:rFonts w:eastAsia="Times New Roman" w:cstheme="minorHAnsi"/>
          <w:lang w:val="en-US" w:eastAsia="fr-FR"/>
        </w:rPr>
        <w:t xml:space="preserve"> standards?</w:t>
      </w:r>
    </w:p>
    <w:sectPr w:rsidR="000772B8" w:rsidRPr="000772B8" w:rsidSect="00C21F84">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486" w:rsidRDefault="00883486" w:rsidP="00C21F84">
      <w:pPr>
        <w:spacing w:after="0" w:line="240" w:lineRule="auto"/>
      </w:pPr>
      <w:r>
        <w:separator/>
      </w:r>
    </w:p>
  </w:endnote>
  <w:endnote w:type="continuationSeparator" w:id="1">
    <w:p w:rsidR="00883486" w:rsidRDefault="00883486" w:rsidP="00C21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11440"/>
      <w:docPartObj>
        <w:docPartGallery w:val="Page Numbers (Bottom of Page)"/>
        <w:docPartUnique/>
      </w:docPartObj>
    </w:sdtPr>
    <w:sdtContent>
      <w:p w:rsidR="00C21F84" w:rsidRDefault="00245A72">
        <w:pPr>
          <w:pStyle w:val="Pieddepage"/>
          <w:jc w:val="center"/>
        </w:pPr>
        <w:fldSimple w:instr=" PAGE   \* MERGEFORMAT ">
          <w:r w:rsidR="003F3924">
            <w:rPr>
              <w:noProof/>
            </w:rPr>
            <w:t>2</w:t>
          </w:r>
        </w:fldSimple>
      </w:p>
    </w:sdtContent>
  </w:sdt>
  <w:p w:rsidR="00C21F84" w:rsidRDefault="00C21F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486" w:rsidRDefault="00883486" w:rsidP="00C21F84">
      <w:pPr>
        <w:spacing w:after="0" w:line="240" w:lineRule="auto"/>
      </w:pPr>
      <w:r>
        <w:separator/>
      </w:r>
    </w:p>
  </w:footnote>
  <w:footnote w:type="continuationSeparator" w:id="1">
    <w:p w:rsidR="00883486" w:rsidRDefault="00883486" w:rsidP="00C21F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20508"/>
    <w:multiLevelType w:val="hybridMultilevel"/>
    <w:tmpl w:val="21C854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2317DD"/>
    <w:rsid w:val="0004507E"/>
    <w:rsid w:val="000772B8"/>
    <w:rsid w:val="000926C1"/>
    <w:rsid w:val="000C0DB2"/>
    <w:rsid w:val="00104837"/>
    <w:rsid w:val="0012408C"/>
    <w:rsid w:val="00176D87"/>
    <w:rsid w:val="00207F85"/>
    <w:rsid w:val="0021142E"/>
    <w:rsid w:val="00214C1B"/>
    <w:rsid w:val="002317DD"/>
    <w:rsid w:val="00245A72"/>
    <w:rsid w:val="002C287F"/>
    <w:rsid w:val="00315217"/>
    <w:rsid w:val="003820F0"/>
    <w:rsid w:val="003F3924"/>
    <w:rsid w:val="0046530B"/>
    <w:rsid w:val="004825D2"/>
    <w:rsid w:val="004D4F88"/>
    <w:rsid w:val="00504768"/>
    <w:rsid w:val="00544B67"/>
    <w:rsid w:val="0055628F"/>
    <w:rsid w:val="005B428A"/>
    <w:rsid w:val="005C70C4"/>
    <w:rsid w:val="005F750B"/>
    <w:rsid w:val="00623660"/>
    <w:rsid w:val="006A6EAA"/>
    <w:rsid w:val="006C6912"/>
    <w:rsid w:val="006F6CF6"/>
    <w:rsid w:val="007A73F2"/>
    <w:rsid w:val="008178F5"/>
    <w:rsid w:val="00845D7B"/>
    <w:rsid w:val="0084654C"/>
    <w:rsid w:val="00883486"/>
    <w:rsid w:val="008E1CD9"/>
    <w:rsid w:val="009251A9"/>
    <w:rsid w:val="00962301"/>
    <w:rsid w:val="009A4432"/>
    <w:rsid w:val="009E6143"/>
    <w:rsid w:val="00A31071"/>
    <w:rsid w:val="00A65A27"/>
    <w:rsid w:val="00A90837"/>
    <w:rsid w:val="00AD6447"/>
    <w:rsid w:val="00B317EA"/>
    <w:rsid w:val="00BB0EDB"/>
    <w:rsid w:val="00BC27FB"/>
    <w:rsid w:val="00BD128C"/>
    <w:rsid w:val="00C10550"/>
    <w:rsid w:val="00C21F84"/>
    <w:rsid w:val="00C24038"/>
    <w:rsid w:val="00C378A8"/>
    <w:rsid w:val="00C87DDE"/>
    <w:rsid w:val="00D231B6"/>
    <w:rsid w:val="00D45F21"/>
    <w:rsid w:val="00D617E5"/>
    <w:rsid w:val="00D82DBB"/>
    <w:rsid w:val="00DA6E36"/>
    <w:rsid w:val="00DD3C03"/>
    <w:rsid w:val="00DE44B9"/>
    <w:rsid w:val="00DF48EA"/>
    <w:rsid w:val="00E32075"/>
    <w:rsid w:val="00EB28B3"/>
    <w:rsid w:val="00EE35D4"/>
    <w:rsid w:val="00FA264B"/>
    <w:rsid w:val="00FA679C"/>
    <w:rsid w:val="00FD6B65"/>
    <w:rsid w:val="00FF0F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DBB"/>
  </w:style>
  <w:style w:type="paragraph" w:styleId="Titre1">
    <w:name w:val="heading 1"/>
    <w:basedOn w:val="Normal"/>
    <w:link w:val="Titre1Car"/>
    <w:uiPriority w:val="9"/>
    <w:qFormat/>
    <w:rsid w:val="002317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17DD"/>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2317D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C21F8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21F84"/>
  </w:style>
  <w:style w:type="paragraph" w:styleId="Pieddepage">
    <w:name w:val="footer"/>
    <w:basedOn w:val="Normal"/>
    <w:link w:val="PieddepageCar"/>
    <w:uiPriority w:val="99"/>
    <w:unhideWhenUsed/>
    <w:rsid w:val="00C21F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1F84"/>
  </w:style>
  <w:style w:type="character" w:styleId="Lienhypertexte">
    <w:name w:val="Hyperlink"/>
    <w:basedOn w:val="Policepardfaut"/>
    <w:uiPriority w:val="99"/>
    <w:semiHidden/>
    <w:unhideWhenUsed/>
    <w:rsid w:val="00C24038"/>
    <w:rPr>
      <w:color w:val="0000FF"/>
      <w:u w:val="single"/>
    </w:rPr>
  </w:style>
  <w:style w:type="character" w:styleId="Accentuation">
    <w:name w:val="Emphasis"/>
    <w:basedOn w:val="Policepardfaut"/>
    <w:uiPriority w:val="20"/>
    <w:qFormat/>
    <w:rsid w:val="00C24038"/>
    <w:rPr>
      <w:i/>
      <w:iCs/>
    </w:rPr>
  </w:style>
  <w:style w:type="paragraph" w:customStyle="1" w:styleId="nind">
    <w:name w:val="nind"/>
    <w:basedOn w:val="Normal"/>
    <w:rsid w:val="00EB28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D4F88"/>
    <w:pPr>
      <w:ind w:left="720"/>
      <w:contextualSpacing/>
    </w:pPr>
  </w:style>
</w:styles>
</file>

<file path=word/webSettings.xml><?xml version="1.0" encoding="utf-8"?>
<w:webSettings xmlns:r="http://schemas.openxmlformats.org/officeDocument/2006/relationships" xmlns:w="http://schemas.openxmlformats.org/wordprocessingml/2006/main">
  <w:divs>
    <w:div w:id="984819938">
      <w:bodyDiv w:val="1"/>
      <w:marLeft w:val="0"/>
      <w:marRight w:val="0"/>
      <w:marTop w:val="0"/>
      <w:marBottom w:val="0"/>
      <w:divBdr>
        <w:top w:val="none" w:sz="0" w:space="0" w:color="auto"/>
        <w:left w:val="none" w:sz="0" w:space="0" w:color="auto"/>
        <w:bottom w:val="none" w:sz="0" w:space="0" w:color="auto"/>
        <w:right w:val="none" w:sz="0" w:space="0" w:color="auto"/>
      </w:divBdr>
    </w:div>
    <w:div w:id="1400177372">
      <w:bodyDiv w:val="1"/>
      <w:marLeft w:val="0"/>
      <w:marRight w:val="0"/>
      <w:marTop w:val="0"/>
      <w:marBottom w:val="0"/>
      <w:divBdr>
        <w:top w:val="none" w:sz="0" w:space="0" w:color="auto"/>
        <w:left w:val="none" w:sz="0" w:space="0" w:color="auto"/>
        <w:bottom w:val="none" w:sz="0" w:space="0" w:color="auto"/>
        <w:right w:val="none" w:sz="0" w:space="0" w:color="auto"/>
      </w:divBdr>
    </w:div>
    <w:div w:id="157176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1681</Words>
  <Characters>9251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2024-11-30T21:29:00Z</dcterms:created>
  <dcterms:modified xsi:type="dcterms:W3CDTF">2024-11-30T21:41:00Z</dcterms:modified>
</cp:coreProperties>
</file>