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2268"/>
        <w:gridCol w:w="4110"/>
        <w:gridCol w:w="1843"/>
        <w:gridCol w:w="866"/>
      </w:tblGrid>
      <w:tr w:rsidR="00962301" w:rsidTr="00962301">
        <w:tc>
          <w:tcPr>
            <w:tcW w:w="3369" w:type="dxa"/>
            <w:gridSpan w:val="2"/>
            <w:tcBorders>
              <w:top w:val="single" w:sz="4" w:space="0" w:color="FFFFFF"/>
              <w:left w:val="single" w:sz="4" w:space="0" w:color="FFFFFF"/>
              <w:bottom w:val="single" w:sz="4" w:space="0" w:color="FFFFFF"/>
              <w:right w:val="single" w:sz="4" w:space="0" w:color="FFFFFF"/>
            </w:tcBorders>
            <w:shd w:val="clear" w:color="auto" w:fill="FFFFFF"/>
          </w:tcPr>
          <w:p w:rsidR="00962301" w:rsidRPr="00EA4D3D" w:rsidRDefault="00962301" w:rsidP="00962301">
            <w:pPr>
              <w:spacing w:after="0" w:line="240" w:lineRule="auto"/>
              <w:jc w:val="lowKashida"/>
              <w:rPr>
                <w:rFonts w:ascii="Calibri" w:eastAsia="Calibri" w:hAnsi="Calibri" w:cs="Calibri"/>
                <w:lang w:bidi="ar-DZ"/>
              </w:rPr>
            </w:pPr>
            <w:r w:rsidRPr="00EA4D3D">
              <w:rPr>
                <w:rFonts w:ascii="Calibri" w:eastAsia="Calibri" w:hAnsi="Calibri" w:cs="Calibri"/>
                <w:b/>
                <w:bCs/>
                <w:u w:val="single"/>
                <w:lang w:bidi="ar-DZ"/>
              </w:rPr>
              <w:t>Level</w:t>
            </w:r>
            <w:r w:rsidRPr="00EA4D3D">
              <w:rPr>
                <w:rFonts w:ascii="Calibri" w:eastAsia="Calibri" w:hAnsi="Calibri" w:cs="Calibri"/>
                <w:b/>
                <w:bCs/>
                <w:lang w:bidi="ar-DZ"/>
              </w:rPr>
              <w:t xml:space="preserve">: </w:t>
            </w:r>
            <w:r w:rsidRPr="00EA4D3D">
              <w:rPr>
                <w:rFonts w:ascii="Calibri" w:eastAsia="Calibri" w:hAnsi="Calibri" w:cs="Calibri"/>
                <w:b/>
                <w:bCs/>
                <w:sz w:val="20"/>
                <w:szCs w:val="20"/>
                <w:lang w:bidi="ar-DZ"/>
              </w:rPr>
              <w:t>Master</w:t>
            </w:r>
            <w:r>
              <w:rPr>
                <w:rFonts w:ascii="Calibri" w:eastAsia="Calibri" w:hAnsi="Calibri" w:cs="Calibri"/>
                <w:b/>
                <w:bCs/>
                <w:sz w:val="20"/>
                <w:szCs w:val="20"/>
                <w:lang w:bidi="ar-DZ"/>
              </w:rPr>
              <w:t xml:space="preserve"> 1</w:t>
            </w:r>
          </w:p>
        </w:tc>
        <w:tc>
          <w:tcPr>
            <w:tcW w:w="4110" w:type="dxa"/>
            <w:tcBorders>
              <w:top w:val="single" w:sz="4" w:space="0" w:color="FFFFFF"/>
              <w:left w:val="single" w:sz="4" w:space="0" w:color="FFFFFF"/>
              <w:bottom w:val="single" w:sz="4" w:space="0" w:color="FFFFFF"/>
              <w:right w:val="single" w:sz="4" w:space="0" w:color="FFFFFF"/>
            </w:tcBorders>
            <w:shd w:val="clear" w:color="auto" w:fill="FFFFFF"/>
          </w:tcPr>
          <w:p w:rsidR="00962301" w:rsidRPr="00962301" w:rsidRDefault="00962301" w:rsidP="00962301">
            <w:pPr>
              <w:spacing w:after="0" w:line="240" w:lineRule="auto"/>
              <w:jc w:val="center"/>
              <w:rPr>
                <w:rFonts w:ascii="Calibri" w:eastAsia="Calibri" w:hAnsi="Calibri" w:cs="Calibri"/>
                <w:sz w:val="20"/>
                <w:szCs w:val="20"/>
                <w:lang w:val="en-US" w:bidi="ar-DZ"/>
              </w:rPr>
            </w:pPr>
            <w:r w:rsidRPr="00962301">
              <w:rPr>
                <w:rFonts w:ascii="Calibri" w:eastAsia="Calibri" w:hAnsi="Calibri" w:cs="Calibri"/>
                <w:b/>
                <w:bCs/>
                <w:sz w:val="20"/>
                <w:szCs w:val="20"/>
                <w:lang w:val="en-US" w:bidi="ar-DZ"/>
              </w:rPr>
              <w:t>Mohamed Kheider University of Biskra</w:t>
            </w:r>
          </w:p>
        </w:tc>
        <w:tc>
          <w:tcPr>
            <w:tcW w:w="2709" w:type="dxa"/>
            <w:gridSpan w:val="2"/>
            <w:tcBorders>
              <w:top w:val="single" w:sz="4" w:space="0" w:color="FFFFFF"/>
              <w:left w:val="single" w:sz="4" w:space="0" w:color="FFFFFF"/>
              <w:bottom w:val="single" w:sz="4" w:space="0" w:color="FFFFFF"/>
              <w:right w:val="single" w:sz="4" w:space="0" w:color="FFFFFF"/>
            </w:tcBorders>
            <w:shd w:val="clear" w:color="auto" w:fill="FFFFFF"/>
          </w:tcPr>
          <w:p w:rsidR="00962301" w:rsidRPr="00EA4D3D" w:rsidRDefault="00962301" w:rsidP="00962301">
            <w:pPr>
              <w:spacing w:after="0" w:line="240" w:lineRule="auto"/>
              <w:jc w:val="lowKashida"/>
              <w:rPr>
                <w:rFonts w:ascii="Calibri" w:eastAsia="Calibri" w:hAnsi="Calibri" w:cs="Calibri"/>
                <w:lang w:bidi="ar-DZ"/>
              </w:rPr>
            </w:pPr>
            <w:r w:rsidRPr="00EA4D3D">
              <w:rPr>
                <w:rFonts w:ascii="Calibri" w:eastAsia="Calibri" w:hAnsi="Calibri" w:cs="Calibri"/>
                <w:b/>
                <w:bCs/>
                <w:u w:val="single"/>
                <w:lang w:bidi="ar-DZ"/>
              </w:rPr>
              <w:t>Lecturer</w:t>
            </w:r>
            <w:r w:rsidRPr="00EA4D3D">
              <w:rPr>
                <w:rFonts w:ascii="Calibri" w:eastAsia="Calibri" w:hAnsi="Calibri" w:cs="Calibri"/>
                <w:b/>
                <w:bCs/>
                <w:lang w:bidi="ar-DZ"/>
              </w:rPr>
              <w:t xml:space="preserve">: </w:t>
            </w:r>
            <w:r w:rsidRPr="00EA4D3D">
              <w:rPr>
                <w:rFonts w:ascii="Calibri" w:eastAsia="Calibri" w:hAnsi="Calibri" w:cs="Calibri"/>
                <w:b/>
                <w:bCs/>
                <w:sz w:val="20"/>
                <w:szCs w:val="20"/>
                <w:lang w:bidi="ar-DZ"/>
              </w:rPr>
              <w:t>Mr A. Boulegroune</w:t>
            </w:r>
          </w:p>
        </w:tc>
      </w:tr>
      <w:tr w:rsidR="00962301" w:rsidRPr="001805D9" w:rsidTr="00962301">
        <w:tc>
          <w:tcPr>
            <w:tcW w:w="3369" w:type="dxa"/>
            <w:gridSpan w:val="2"/>
            <w:tcBorders>
              <w:top w:val="single" w:sz="4" w:space="0" w:color="FFFFFF"/>
              <w:left w:val="single" w:sz="4" w:space="0" w:color="FFFFFF"/>
              <w:bottom w:val="single" w:sz="4" w:space="0" w:color="FFFFFF"/>
              <w:right w:val="single" w:sz="4" w:space="0" w:color="FFFFFF"/>
            </w:tcBorders>
            <w:shd w:val="clear" w:color="auto" w:fill="FFFFFF"/>
          </w:tcPr>
          <w:p w:rsidR="00962301" w:rsidRPr="00EA4D3D" w:rsidRDefault="00962301" w:rsidP="00962301">
            <w:pPr>
              <w:spacing w:after="0" w:line="240" w:lineRule="auto"/>
              <w:ind w:left="851" w:hanging="851"/>
              <w:jc w:val="lowKashida"/>
              <w:rPr>
                <w:rFonts w:ascii="Calibri" w:eastAsia="Calibri" w:hAnsi="Calibri" w:cs="Calibri"/>
                <w:lang w:bidi="ar-DZ"/>
              </w:rPr>
            </w:pPr>
            <w:r w:rsidRPr="00EA4D3D">
              <w:rPr>
                <w:rFonts w:ascii="Calibri" w:eastAsia="Calibri" w:hAnsi="Calibri" w:cs="Calibri"/>
                <w:b/>
                <w:bCs/>
                <w:sz w:val="20"/>
                <w:szCs w:val="20"/>
                <w:u w:val="single"/>
                <w:lang w:bidi="ar-DZ"/>
              </w:rPr>
              <w:t>Option</w:t>
            </w:r>
            <w:r w:rsidRPr="00EA4D3D">
              <w:rPr>
                <w:rFonts w:ascii="Calibri" w:eastAsia="Calibri" w:hAnsi="Calibri" w:cs="Calibri"/>
                <w:b/>
                <w:bCs/>
                <w:sz w:val="20"/>
                <w:szCs w:val="20"/>
                <w:lang w:bidi="ar-DZ"/>
              </w:rPr>
              <w:t>: Literature and Civilization</w:t>
            </w:r>
          </w:p>
        </w:tc>
        <w:tc>
          <w:tcPr>
            <w:tcW w:w="4110" w:type="dxa"/>
            <w:tcBorders>
              <w:top w:val="single" w:sz="4" w:space="0" w:color="FFFFFF"/>
              <w:left w:val="single" w:sz="4" w:space="0" w:color="FFFFFF"/>
              <w:bottom w:val="single" w:sz="4" w:space="0" w:color="FFFFFF"/>
              <w:right w:val="single" w:sz="4" w:space="0" w:color="FFFFFF"/>
            </w:tcBorders>
            <w:shd w:val="clear" w:color="auto" w:fill="FFFFFF"/>
          </w:tcPr>
          <w:p w:rsidR="00962301" w:rsidRPr="00962301" w:rsidRDefault="00962301" w:rsidP="00962301">
            <w:pPr>
              <w:spacing w:after="0" w:line="240" w:lineRule="auto"/>
              <w:jc w:val="center"/>
              <w:rPr>
                <w:rFonts w:ascii="Calibri" w:eastAsia="Calibri" w:hAnsi="Calibri" w:cs="Calibri"/>
                <w:sz w:val="20"/>
                <w:szCs w:val="20"/>
                <w:lang w:val="en-US" w:bidi="ar-DZ"/>
              </w:rPr>
            </w:pPr>
            <w:r w:rsidRPr="00962301">
              <w:rPr>
                <w:rFonts w:ascii="Calibri" w:eastAsia="Calibri" w:hAnsi="Calibri" w:cs="Calibri"/>
                <w:b/>
                <w:bCs/>
                <w:sz w:val="20"/>
                <w:szCs w:val="20"/>
                <w:lang w:val="en-US" w:bidi="ar-DZ"/>
              </w:rPr>
              <w:t>Faculty of Letters and Languages</w:t>
            </w:r>
          </w:p>
        </w:tc>
        <w:tc>
          <w:tcPr>
            <w:tcW w:w="2709" w:type="dxa"/>
            <w:gridSpan w:val="2"/>
            <w:tcBorders>
              <w:top w:val="single" w:sz="4" w:space="0" w:color="FFFFFF"/>
              <w:left w:val="single" w:sz="4" w:space="0" w:color="FFFFFF"/>
              <w:bottom w:val="single" w:sz="4" w:space="0" w:color="FFFFFF"/>
              <w:right w:val="single" w:sz="4" w:space="0" w:color="FFFFFF"/>
            </w:tcBorders>
            <w:shd w:val="clear" w:color="auto" w:fill="FFFFFF"/>
          </w:tcPr>
          <w:p w:rsidR="00962301" w:rsidRPr="00EA4D3D" w:rsidRDefault="00962301" w:rsidP="00962301">
            <w:pPr>
              <w:spacing w:after="0" w:line="240" w:lineRule="auto"/>
              <w:jc w:val="lowKashida"/>
              <w:rPr>
                <w:rFonts w:ascii="Calibri" w:eastAsia="Calibri" w:hAnsi="Calibri" w:cs="Calibri"/>
                <w:lang w:bidi="ar-DZ"/>
              </w:rPr>
            </w:pPr>
            <w:r w:rsidRPr="00EA4D3D">
              <w:rPr>
                <w:rFonts w:ascii="Calibri" w:eastAsia="Calibri" w:hAnsi="Calibri" w:cs="Calibri"/>
                <w:b/>
                <w:bCs/>
                <w:u w:val="single"/>
                <w:lang w:bidi="ar-DZ"/>
              </w:rPr>
              <w:t>Academic Year</w:t>
            </w:r>
            <w:r w:rsidRPr="00EA4D3D">
              <w:rPr>
                <w:rFonts w:ascii="Calibri" w:eastAsia="Calibri" w:hAnsi="Calibri" w:cs="Calibri"/>
                <w:b/>
                <w:bCs/>
                <w:lang w:bidi="ar-DZ"/>
              </w:rPr>
              <w:t xml:space="preserve">: </w:t>
            </w:r>
            <w:r w:rsidRPr="00EA4D3D">
              <w:rPr>
                <w:rFonts w:ascii="Calibri" w:eastAsia="Calibri" w:hAnsi="Calibri" w:cs="Calibri"/>
                <w:b/>
                <w:bCs/>
                <w:sz w:val="20"/>
                <w:szCs w:val="20"/>
                <w:lang w:bidi="ar-DZ"/>
              </w:rPr>
              <w:t>202</w:t>
            </w:r>
            <w:r>
              <w:rPr>
                <w:rFonts w:ascii="Calibri" w:eastAsia="Calibri" w:hAnsi="Calibri" w:cs="Calibri"/>
                <w:b/>
                <w:bCs/>
                <w:sz w:val="20"/>
                <w:szCs w:val="20"/>
                <w:lang w:bidi="ar-DZ"/>
              </w:rPr>
              <w:t>4</w:t>
            </w:r>
            <w:r w:rsidRPr="00EA4D3D">
              <w:rPr>
                <w:rFonts w:ascii="Calibri" w:eastAsia="Calibri" w:hAnsi="Calibri" w:cs="Calibri"/>
                <w:b/>
                <w:bCs/>
                <w:sz w:val="20"/>
                <w:szCs w:val="20"/>
                <w:lang w:bidi="ar-DZ"/>
              </w:rPr>
              <w:t>-202</w:t>
            </w:r>
            <w:r>
              <w:rPr>
                <w:rFonts w:ascii="Calibri" w:eastAsia="Calibri" w:hAnsi="Calibri" w:cs="Calibri"/>
                <w:b/>
                <w:bCs/>
                <w:sz w:val="20"/>
                <w:szCs w:val="20"/>
                <w:lang w:bidi="ar-DZ"/>
              </w:rPr>
              <w:t>5</w:t>
            </w:r>
          </w:p>
        </w:tc>
      </w:tr>
      <w:tr w:rsidR="00962301" w:rsidRPr="00344CFF" w:rsidTr="00962301">
        <w:tc>
          <w:tcPr>
            <w:tcW w:w="3369" w:type="dxa"/>
            <w:gridSpan w:val="2"/>
            <w:tcBorders>
              <w:top w:val="single" w:sz="4" w:space="0" w:color="FFFFFF"/>
              <w:left w:val="single" w:sz="4" w:space="0" w:color="FFFFFF"/>
              <w:bottom w:val="single" w:sz="4" w:space="0" w:color="FFFFFF"/>
              <w:right w:val="single" w:sz="4" w:space="0" w:color="FFFFFF"/>
            </w:tcBorders>
            <w:shd w:val="clear" w:color="auto" w:fill="FFFFFF"/>
          </w:tcPr>
          <w:p w:rsidR="00962301" w:rsidRPr="00EA4D3D" w:rsidRDefault="00962301" w:rsidP="00962301">
            <w:pPr>
              <w:spacing w:after="0" w:line="240" w:lineRule="auto"/>
              <w:ind w:left="567" w:hanging="567"/>
              <w:rPr>
                <w:rFonts w:ascii="Calibri" w:eastAsia="Calibri" w:hAnsi="Calibri" w:cs="Calibri"/>
                <w:b/>
                <w:bCs/>
                <w:lang w:bidi="ar-DZ"/>
              </w:rPr>
            </w:pPr>
            <w:r w:rsidRPr="00EA4D3D">
              <w:rPr>
                <w:rFonts w:ascii="Calibri" w:eastAsia="Calibri" w:hAnsi="Calibri" w:cs="Calibri"/>
                <w:b/>
                <w:bCs/>
                <w:u w:val="single"/>
                <w:lang w:bidi="ar-DZ"/>
              </w:rPr>
              <w:t>Module</w:t>
            </w:r>
            <w:r w:rsidRPr="00EA4D3D">
              <w:rPr>
                <w:rFonts w:ascii="Calibri" w:eastAsia="Calibri" w:hAnsi="Calibri" w:cs="Calibri"/>
                <w:b/>
                <w:bCs/>
                <w:lang w:bidi="ar-DZ"/>
              </w:rPr>
              <w:t xml:space="preserve">: </w:t>
            </w:r>
            <w:r w:rsidRPr="00EA4D3D">
              <w:rPr>
                <w:rFonts w:ascii="Calibri" w:eastAsia="Calibri" w:hAnsi="Calibri" w:cs="Calibri"/>
                <w:b/>
                <w:bCs/>
                <w:sz w:val="20"/>
                <w:szCs w:val="20"/>
                <w:lang w:bidi="ar-DZ"/>
              </w:rPr>
              <w:t>Literary Theory &amp; Criticism</w:t>
            </w:r>
          </w:p>
        </w:tc>
        <w:tc>
          <w:tcPr>
            <w:tcW w:w="4110" w:type="dxa"/>
            <w:tcBorders>
              <w:top w:val="single" w:sz="4" w:space="0" w:color="FFFFFF"/>
              <w:left w:val="single" w:sz="4" w:space="0" w:color="FFFFFF"/>
              <w:bottom w:val="single" w:sz="4" w:space="0" w:color="FFFFFF"/>
              <w:right w:val="single" w:sz="4" w:space="0" w:color="FFFFFF"/>
            </w:tcBorders>
            <w:shd w:val="clear" w:color="auto" w:fill="FFFFFF"/>
          </w:tcPr>
          <w:p w:rsidR="00962301" w:rsidRPr="00962301" w:rsidRDefault="00962301" w:rsidP="00962301">
            <w:pPr>
              <w:spacing w:after="0" w:line="240" w:lineRule="auto"/>
              <w:jc w:val="center"/>
              <w:rPr>
                <w:rFonts w:ascii="Calibri" w:eastAsia="Calibri" w:hAnsi="Calibri" w:cs="Calibri"/>
                <w:sz w:val="20"/>
                <w:szCs w:val="20"/>
                <w:lang w:val="en-US" w:bidi="ar-DZ"/>
              </w:rPr>
            </w:pPr>
            <w:r w:rsidRPr="00962301">
              <w:rPr>
                <w:rFonts w:ascii="Calibri" w:eastAsia="Calibri" w:hAnsi="Calibri" w:cs="Calibri"/>
                <w:b/>
                <w:bCs/>
                <w:sz w:val="20"/>
                <w:szCs w:val="20"/>
                <w:lang w:val="en-US" w:bidi="ar-DZ"/>
              </w:rPr>
              <w:t>Department of English Language &amp; Literature</w:t>
            </w:r>
          </w:p>
        </w:tc>
        <w:tc>
          <w:tcPr>
            <w:tcW w:w="2709" w:type="dxa"/>
            <w:gridSpan w:val="2"/>
            <w:tcBorders>
              <w:top w:val="single" w:sz="4" w:space="0" w:color="FFFFFF"/>
              <w:left w:val="single" w:sz="4" w:space="0" w:color="FFFFFF"/>
              <w:bottom w:val="single" w:sz="4" w:space="0" w:color="FFFFFF"/>
              <w:right w:val="single" w:sz="4" w:space="0" w:color="FFFFFF"/>
            </w:tcBorders>
            <w:shd w:val="clear" w:color="auto" w:fill="FFFFFF"/>
          </w:tcPr>
          <w:p w:rsidR="00962301" w:rsidRPr="00EA4D3D" w:rsidRDefault="00962301" w:rsidP="00962301">
            <w:pPr>
              <w:spacing w:after="0" w:line="240" w:lineRule="auto"/>
              <w:jc w:val="lowKashida"/>
              <w:rPr>
                <w:rFonts w:ascii="Calibri" w:eastAsia="Calibri" w:hAnsi="Calibri" w:cs="Calibri"/>
                <w:b/>
                <w:bCs/>
                <w:lang w:bidi="ar-DZ"/>
              </w:rPr>
            </w:pPr>
            <w:r w:rsidRPr="00EA4D3D">
              <w:rPr>
                <w:rFonts w:ascii="Calibri" w:eastAsia="Calibri" w:hAnsi="Calibri" w:cs="Calibri"/>
                <w:b/>
                <w:bCs/>
                <w:u w:val="single"/>
                <w:lang w:bidi="ar-DZ"/>
              </w:rPr>
              <w:t>Semester</w:t>
            </w:r>
            <w:r w:rsidRPr="00EA4D3D">
              <w:rPr>
                <w:rFonts w:ascii="Calibri" w:eastAsia="Calibri" w:hAnsi="Calibri" w:cs="Calibri"/>
                <w:b/>
                <w:bCs/>
                <w:lang w:bidi="ar-DZ"/>
              </w:rPr>
              <w:t>: I</w:t>
            </w:r>
          </w:p>
        </w:tc>
      </w:tr>
      <w:tr w:rsidR="00962301" w:rsidRPr="00BC27FB" w:rsidTr="00962301">
        <w:trPr>
          <w:gridBefore w:val="1"/>
          <w:gridAfter w:val="1"/>
          <w:wBefore w:w="1101" w:type="dxa"/>
          <w:wAfter w:w="866" w:type="dxa"/>
        </w:trPr>
        <w:tc>
          <w:tcPr>
            <w:tcW w:w="8221" w:type="dxa"/>
            <w:gridSpan w:val="3"/>
            <w:tcBorders>
              <w:top w:val="single" w:sz="4" w:space="0" w:color="FFFFFF"/>
              <w:left w:val="single" w:sz="4" w:space="0" w:color="FFFFFF"/>
              <w:bottom w:val="single" w:sz="4" w:space="0" w:color="FFFFFF"/>
              <w:right w:val="single" w:sz="4" w:space="0" w:color="FFFFFF"/>
            </w:tcBorders>
            <w:shd w:val="clear" w:color="auto" w:fill="FFFFFF"/>
          </w:tcPr>
          <w:p w:rsidR="00962301" w:rsidRPr="002C287F" w:rsidRDefault="00962301" w:rsidP="009251A9">
            <w:pPr>
              <w:spacing w:before="120" w:after="120" w:line="240" w:lineRule="auto"/>
              <w:jc w:val="center"/>
              <w:rPr>
                <w:rFonts w:ascii="Bodoni MT Black" w:eastAsia="Calibri" w:hAnsi="Bodoni MT Black" w:cs="Calibri"/>
                <w:b/>
                <w:bCs/>
                <w:sz w:val="26"/>
                <w:szCs w:val="26"/>
                <w:lang w:val="en-US" w:bidi="ar-DZ"/>
              </w:rPr>
            </w:pPr>
            <w:r w:rsidRPr="002C287F">
              <w:rPr>
                <w:rFonts w:ascii="Bodoni MT Black" w:eastAsia="Calibri" w:hAnsi="Bodoni MT Black" w:cs="Calibri"/>
                <w:b/>
                <w:bCs/>
                <w:sz w:val="26"/>
                <w:szCs w:val="26"/>
                <w:lang w:val="en-US" w:eastAsia="fr-FR"/>
              </w:rPr>
              <w:t xml:space="preserve">Tutorial </w:t>
            </w:r>
            <w:r w:rsidRPr="002C287F">
              <w:rPr>
                <w:rFonts w:ascii="Calibri" w:eastAsia="Calibri" w:hAnsi="Calibri" w:cs="Calibri"/>
                <w:b/>
                <w:bCs/>
                <w:sz w:val="26"/>
                <w:szCs w:val="26"/>
                <w:lang w:val="en-US" w:eastAsia="fr-FR"/>
              </w:rPr>
              <w:t>№</w:t>
            </w:r>
            <w:r w:rsidRPr="002C287F">
              <w:rPr>
                <w:rFonts w:ascii="Bodoni MT Black" w:eastAsia="Calibri" w:hAnsi="Bodoni MT Black" w:cs="Calibri"/>
                <w:b/>
                <w:bCs/>
                <w:sz w:val="26"/>
                <w:szCs w:val="26"/>
                <w:lang w:val="en-US" w:eastAsia="fr-FR"/>
              </w:rPr>
              <w:t xml:space="preserve"> 0</w:t>
            </w:r>
            <w:r w:rsidR="00BB0EDB">
              <w:rPr>
                <w:rFonts w:ascii="Bodoni MT Black" w:eastAsia="Calibri" w:hAnsi="Bodoni MT Black" w:cs="Calibri"/>
                <w:b/>
                <w:bCs/>
                <w:sz w:val="26"/>
                <w:szCs w:val="26"/>
                <w:lang w:val="en-US" w:eastAsia="fr-FR"/>
              </w:rPr>
              <w:t>1</w:t>
            </w:r>
            <w:r w:rsidRPr="002C287F">
              <w:rPr>
                <w:rFonts w:ascii="Bodoni MT Black" w:eastAsia="Calibri" w:hAnsi="Bodoni MT Black" w:cs="Calibri"/>
                <w:b/>
                <w:bCs/>
                <w:sz w:val="26"/>
                <w:szCs w:val="26"/>
                <w:lang w:val="en-US" w:eastAsia="fr-FR"/>
              </w:rPr>
              <w:t xml:space="preserve">: Application of </w:t>
            </w:r>
            <w:r w:rsidRPr="002C287F">
              <w:rPr>
                <w:rFonts w:ascii="Bodoni MT Black" w:hAnsi="Bodoni MT Black" w:cs="Calibri"/>
                <w:b/>
                <w:bCs/>
                <w:sz w:val="26"/>
                <w:szCs w:val="26"/>
                <w:lang w:val="en-US" w:eastAsia="fr-FR"/>
              </w:rPr>
              <w:t>Biographical Criticism</w:t>
            </w:r>
            <w:r w:rsidRPr="002C287F">
              <w:rPr>
                <w:rFonts w:ascii="Bodoni MT Black" w:eastAsia="Calibri" w:hAnsi="Bodoni MT Black" w:cs="Calibri"/>
                <w:b/>
                <w:bCs/>
                <w:sz w:val="26"/>
                <w:szCs w:val="26"/>
                <w:lang w:val="en-US" w:eastAsia="fr-FR"/>
              </w:rPr>
              <w:t xml:space="preserve"> to the Analysis of</w:t>
            </w:r>
            <w:r w:rsidRPr="002C287F">
              <w:rPr>
                <w:rFonts w:asciiTheme="majorBidi" w:hAnsiTheme="majorBidi" w:cstheme="majorBidi"/>
                <w:b/>
                <w:bCs/>
                <w:sz w:val="26"/>
                <w:szCs w:val="26"/>
                <w:lang w:val="en-US"/>
              </w:rPr>
              <w:t xml:space="preserve"> </w:t>
            </w:r>
            <w:r w:rsidRPr="002C287F">
              <w:rPr>
                <w:rFonts w:ascii="Bodoni MT Black" w:hAnsi="Bodoni MT Black" w:cs="Calibri"/>
                <w:b/>
                <w:bCs/>
                <w:sz w:val="26"/>
                <w:szCs w:val="26"/>
                <w:lang w:val="en-US" w:eastAsia="fr-FR"/>
              </w:rPr>
              <w:t xml:space="preserve">Jane Austen’s </w:t>
            </w:r>
            <w:r w:rsidRPr="002C287F">
              <w:rPr>
                <w:rFonts w:ascii="Bodoni MT Black" w:hAnsi="Bodoni MT Black" w:cs="Calibri"/>
                <w:i/>
                <w:iCs/>
                <w:sz w:val="26"/>
                <w:szCs w:val="26"/>
                <w:lang w:val="en-US" w:eastAsia="fr-FR"/>
              </w:rPr>
              <w:t>Pride and Prejudic</w:t>
            </w:r>
            <w:r w:rsidRPr="002C287F">
              <w:rPr>
                <w:rFonts w:ascii="Bodoni MT Black" w:hAnsi="Bodoni MT Black" w:cs="Calibri"/>
                <w:b/>
                <w:bCs/>
                <w:sz w:val="26"/>
                <w:szCs w:val="26"/>
                <w:lang w:val="en-US" w:eastAsia="fr-FR"/>
              </w:rPr>
              <w:t>e</w:t>
            </w:r>
            <w:r w:rsidRPr="002C287F">
              <w:rPr>
                <w:rFonts w:ascii="Bodoni MT Black" w:eastAsia="Calibri" w:hAnsi="Bodoni MT Black" w:cs="Calibri"/>
                <w:b/>
                <w:bCs/>
                <w:sz w:val="26"/>
                <w:szCs w:val="26"/>
                <w:lang w:val="en-US" w:bidi="ar-DZ"/>
              </w:rPr>
              <w:t xml:space="preserve">  </w:t>
            </w:r>
          </w:p>
        </w:tc>
      </w:tr>
    </w:tbl>
    <w:p w:rsidR="002317DD" w:rsidRPr="000772B8" w:rsidRDefault="004D4F88" w:rsidP="005F750B">
      <w:pPr>
        <w:spacing w:after="0" w:line="240" w:lineRule="auto"/>
        <w:jc w:val="both"/>
        <w:outlineLvl w:val="0"/>
        <w:rPr>
          <w:rFonts w:eastAsia="Times New Roman" w:cstheme="minorHAnsi"/>
          <w:b/>
          <w:bCs/>
          <w:kern w:val="36"/>
          <w:lang w:val="en-US" w:eastAsia="fr-FR"/>
        </w:rPr>
      </w:pPr>
      <w:r w:rsidRPr="000772B8">
        <w:rPr>
          <w:rFonts w:eastAsia="Times New Roman" w:cstheme="minorHAnsi"/>
          <w:b/>
          <w:bCs/>
          <w:kern w:val="36"/>
          <w:lang w:val="en-US" w:eastAsia="fr-FR"/>
        </w:rPr>
        <w:t xml:space="preserve">1. </w:t>
      </w:r>
      <w:r w:rsidR="00845D7B" w:rsidRPr="000772B8">
        <w:rPr>
          <w:rFonts w:eastAsia="Times New Roman" w:cstheme="minorHAnsi"/>
          <w:b/>
          <w:bCs/>
          <w:kern w:val="36"/>
          <w:lang w:val="en-US" w:eastAsia="fr-FR"/>
        </w:rPr>
        <w:t xml:space="preserve">A Brief </w:t>
      </w:r>
      <w:r w:rsidR="002317DD" w:rsidRPr="000772B8">
        <w:rPr>
          <w:rFonts w:eastAsia="Times New Roman" w:cstheme="minorHAnsi"/>
          <w:b/>
          <w:bCs/>
          <w:kern w:val="36"/>
          <w:lang w:val="en-US" w:eastAsia="fr-FR"/>
        </w:rPr>
        <w:t>Biography of Jane Austen</w:t>
      </w:r>
    </w:p>
    <w:p w:rsidR="00C21F84" w:rsidRPr="000772B8" w:rsidRDefault="00C21F84" w:rsidP="005F750B">
      <w:pPr>
        <w:spacing w:after="0" w:line="240" w:lineRule="auto"/>
        <w:ind w:firstLine="708"/>
        <w:jc w:val="both"/>
        <w:rPr>
          <w:rFonts w:eastAsia="Times New Roman" w:cstheme="minorHAnsi"/>
          <w:lang w:val="en-US" w:eastAsia="fr-FR"/>
        </w:rPr>
      </w:pPr>
      <w:r w:rsidRPr="000772B8">
        <w:rPr>
          <w:rFonts w:eastAsia="Times New Roman" w:cstheme="minorHAnsi"/>
          <w:lang w:val="en-US" w:eastAsia="fr-FR"/>
        </w:rPr>
        <w:t>Born on December 16, 1775, Jane Austen was the seventh of eight children born to George and Cassandra Austen. The family lived in Steventon, a small Hampshire town in south-central England, where her father was a minister. The Austens were a loving, spirited family that read novels together from the local circulating library and put on home theatricals. It was for the family circle that Austen first wrote high-spirited satires — some of which later became novels after numerous and careful rewritings.</w:t>
      </w:r>
    </w:p>
    <w:p w:rsidR="00C21F84" w:rsidRPr="000772B8" w:rsidRDefault="00C21F84" w:rsidP="005F750B">
      <w:pPr>
        <w:spacing w:after="0" w:line="240" w:lineRule="auto"/>
        <w:ind w:firstLine="708"/>
        <w:jc w:val="both"/>
        <w:rPr>
          <w:rFonts w:eastAsia="Times New Roman" w:cstheme="minorHAnsi"/>
          <w:lang w:val="en-US" w:eastAsia="fr-FR"/>
        </w:rPr>
      </w:pPr>
      <w:r w:rsidRPr="000772B8">
        <w:rPr>
          <w:rFonts w:eastAsia="Times New Roman" w:cstheme="minorHAnsi"/>
          <w:lang w:val="en-US" w:eastAsia="fr-FR"/>
        </w:rPr>
        <w:t>Out of her seven siblings, Austen was closest to her only sister, Cassandra. From 1783 to 1785, the two girls attended schools in Oxford and Southampton and the Abbey School at Reading. When the Austens could no longer afford the tuition, Jane and Cassandra returned home to read extensively and learn from their family how to speak French and Italian and play the piano. Most accounts agree that the Austen daughters were pretty and enjoyed the slightly limited but interesting round of country parties described in Austen's novels.</w:t>
      </w:r>
    </w:p>
    <w:p w:rsidR="00C21F84" w:rsidRPr="000772B8" w:rsidRDefault="00C21F84" w:rsidP="005F750B">
      <w:pPr>
        <w:spacing w:after="0" w:line="240" w:lineRule="auto"/>
        <w:ind w:firstLine="708"/>
        <w:jc w:val="both"/>
        <w:rPr>
          <w:rFonts w:eastAsia="Times New Roman" w:cstheme="minorHAnsi"/>
          <w:lang w:val="en-US" w:eastAsia="fr-FR"/>
        </w:rPr>
      </w:pPr>
      <w:r w:rsidRPr="000772B8">
        <w:rPr>
          <w:rFonts w:eastAsia="Times New Roman" w:cstheme="minorHAnsi"/>
          <w:lang w:val="en-US" w:eastAsia="fr-FR"/>
        </w:rPr>
        <w:t>When Austen was twenty, she met Tom Lefroy, a young Irishman visiting his uncle in Hampshire. Seeing that the two young people were on the verge of an engagement, Lefroy's family sent him home rather than letting him attach himself to someone as poor as a clergyman's daughter. Austen's second brush with marriage occurred at age twenty-seven, when the wealthy Harris Bigg-Wither proposed and Austen accepted. The next morning, however, Austen changed her mind, giving up the wealth and security inherent in such a match because she did not love him. Although Austen never married, the emphasis of courtship and marriage in her novels demonstrates the impact that these experiences had on her and her interest in love and marriage.</w:t>
      </w:r>
    </w:p>
    <w:p w:rsidR="00C21F84" w:rsidRPr="000772B8" w:rsidRDefault="00C21F84" w:rsidP="005F750B">
      <w:pPr>
        <w:spacing w:after="0" w:line="240" w:lineRule="auto"/>
        <w:ind w:firstLine="708"/>
        <w:jc w:val="both"/>
        <w:rPr>
          <w:rFonts w:eastAsia="Times New Roman" w:cstheme="minorHAnsi"/>
          <w:lang w:val="en-US" w:eastAsia="fr-FR"/>
        </w:rPr>
      </w:pPr>
      <w:r w:rsidRPr="000772B8">
        <w:rPr>
          <w:rFonts w:eastAsia="Times New Roman" w:cstheme="minorHAnsi"/>
          <w:lang w:val="en-US" w:eastAsia="fr-FR"/>
        </w:rPr>
        <w:t xml:space="preserve">Austen lived the last eight years of her life in Chawton. Her personal life continued to be limited to family and close friends, and she prized herself on being a warm and loving aunt as much as being a successful novelist. A sudden illness, possibly Addison's disease, made her stop work on the novel </w:t>
      </w:r>
      <w:r w:rsidRPr="000772B8">
        <w:rPr>
          <w:rFonts w:eastAsia="Times New Roman" w:cstheme="minorHAnsi"/>
          <w:i/>
          <w:iCs/>
          <w:lang w:val="en-US" w:eastAsia="fr-FR"/>
        </w:rPr>
        <w:t>Sandition</w:t>
      </w:r>
      <w:r w:rsidRPr="000772B8">
        <w:rPr>
          <w:rFonts w:eastAsia="Times New Roman" w:cstheme="minorHAnsi"/>
          <w:lang w:val="en-US" w:eastAsia="fr-FR"/>
        </w:rPr>
        <w:t>, and she died in 1817.</w:t>
      </w:r>
    </w:p>
    <w:p w:rsidR="00544B67" w:rsidRPr="000C0DB2" w:rsidRDefault="00544B67" w:rsidP="00544B67">
      <w:pPr>
        <w:spacing w:after="0"/>
        <w:jc w:val="both"/>
        <w:rPr>
          <w:rFonts w:eastAsia="Times New Roman" w:cstheme="minorHAnsi"/>
          <w:sz w:val="16"/>
          <w:szCs w:val="16"/>
          <w:lang w:val="en-US" w:eastAsia="fr-FR"/>
        </w:rPr>
      </w:pPr>
    </w:p>
    <w:p w:rsidR="00544B67" w:rsidRPr="000772B8" w:rsidRDefault="004D4F88" w:rsidP="00544B67">
      <w:pPr>
        <w:spacing w:after="0"/>
        <w:jc w:val="both"/>
        <w:rPr>
          <w:rFonts w:eastAsia="Times New Roman" w:cstheme="minorHAnsi"/>
          <w:b/>
          <w:bCs/>
          <w:lang w:val="en-US" w:eastAsia="fr-FR"/>
        </w:rPr>
      </w:pPr>
      <w:r w:rsidRPr="000772B8">
        <w:rPr>
          <w:rFonts w:eastAsia="Times New Roman" w:cstheme="minorHAnsi"/>
          <w:b/>
          <w:bCs/>
          <w:lang w:val="en-US" w:eastAsia="fr-FR"/>
        </w:rPr>
        <w:t xml:space="preserve">2. </w:t>
      </w:r>
      <w:r w:rsidR="00544B67" w:rsidRPr="000772B8">
        <w:rPr>
          <w:rFonts w:eastAsia="Times New Roman" w:cstheme="minorHAnsi"/>
          <w:b/>
          <w:bCs/>
          <w:lang w:val="en-US" w:eastAsia="fr-FR"/>
        </w:rPr>
        <w:t>Status of Women during Austen’s Lifetime</w:t>
      </w:r>
    </w:p>
    <w:p w:rsidR="00544B67" w:rsidRPr="000772B8" w:rsidRDefault="00544B67" w:rsidP="0046530B">
      <w:pPr>
        <w:spacing w:after="0" w:line="240" w:lineRule="auto"/>
        <w:jc w:val="both"/>
        <w:rPr>
          <w:rFonts w:eastAsia="Times New Roman" w:cstheme="minorHAnsi"/>
          <w:lang w:val="en-US" w:eastAsia="fr-FR"/>
        </w:rPr>
      </w:pPr>
      <w:r w:rsidRPr="000772B8">
        <w:rPr>
          <w:rFonts w:cstheme="minorHAnsi"/>
          <w:lang w:val="en-US"/>
        </w:rPr>
        <w:t>Women were afforded very few rights in the eighteenth century. Women could not hold office or vote.  Before her marriage a woman was in the care of her father and her legal rights were transferred to her husband after marriage.  Women were not allowed custody of her children unless her husband ha</w:t>
      </w:r>
      <w:r w:rsidR="007A73F2" w:rsidRPr="000772B8">
        <w:rPr>
          <w:rFonts w:cstheme="minorHAnsi"/>
          <w:lang w:val="en-US"/>
        </w:rPr>
        <w:t>s named her the legal guardian.</w:t>
      </w:r>
      <w:r w:rsidRPr="000772B8">
        <w:rPr>
          <w:rFonts w:cstheme="minorHAnsi"/>
          <w:lang w:val="en-US"/>
        </w:rPr>
        <w:t xml:space="preserve"> </w:t>
      </w:r>
      <w:r w:rsidR="007A73F2" w:rsidRPr="000772B8">
        <w:rPr>
          <w:rFonts w:cstheme="minorHAnsi"/>
          <w:lang w:val="en-US"/>
        </w:rPr>
        <w:t>W</w:t>
      </w:r>
      <w:r w:rsidRPr="000772B8">
        <w:rPr>
          <w:rFonts w:cstheme="minorHAnsi"/>
          <w:lang w:val="en-US"/>
        </w:rPr>
        <w:t>omen's economic rights were also very limited.  Women could not own or inherit land.  If a woman had land or property before she got married it became the property of her husband after they wed; "daughters of wealthy fathers frequently became [the] prey of fortune-seeking men." Women did not manage money; it was usually managed by a man. If a wom</w:t>
      </w:r>
      <w:r w:rsidR="00FF0FB6" w:rsidRPr="000772B8">
        <w:rPr>
          <w:rFonts w:cstheme="minorHAnsi"/>
          <w:lang w:val="en-US"/>
        </w:rPr>
        <w:t>a</w:t>
      </w:r>
      <w:r w:rsidRPr="000772B8">
        <w:rPr>
          <w:rFonts w:cstheme="minorHAnsi"/>
          <w:lang w:val="en-US"/>
        </w:rPr>
        <w:t xml:space="preserve">n did try to work she was looked down upon "because of the stigma attached to a woman who earned money through working." Most women were resigned to marriage in order to have "economic security and a respectable, fulfilling life." </w:t>
      </w:r>
      <w:r w:rsidR="007A73F2" w:rsidRPr="000772B8">
        <w:rPr>
          <w:rFonts w:cstheme="minorHAnsi"/>
          <w:lang w:val="en-US"/>
        </w:rPr>
        <w:t>M</w:t>
      </w:r>
      <w:r w:rsidRPr="000772B8">
        <w:rPr>
          <w:rFonts w:cstheme="minorHAnsi"/>
          <w:lang w:val="en-US"/>
        </w:rPr>
        <w:t>arriage was traditionally "regarded as an alliance between families,</w:t>
      </w:r>
      <w:r w:rsidR="00FF0FB6" w:rsidRPr="000772B8">
        <w:rPr>
          <w:rFonts w:cstheme="minorHAnsi"/>
          <w:lang w:val="en-US"/>
        </w:rPr>
        <w:t xml:space="preserve"> [</w:t>
      </w:r>
      <w:r w:rsidRPr="000772B8">
        <w:rPr>
          <w:rFonts w:cstheme="minorHAnsi"/>
          <w:lang w:val="en-US"/>
        </w:rPr>
        <w:t>...</w:t>
      </w:r>
      <w:r w:rsidR="00FF0FB6" w:rsidRPr="000772B8">
        <w:rPr>
          <w:rFonts w:cstheme="minorHAnsi"/>
          <w:lang w:val="en-US"/>
        </w:rPr>
        <w:t>]</w:t>
      </w:r>
      <w:r w:rsidR="007A73F2" w:rsidRPr="000772B8">
        <w:rPr>
          <w:rFonts w:cstheme="minorHAnsi"/>
          <w:lang w:val="en-US"/>
        </w:rPr>
        <w:t xml:space="preserve"> </w:t>
      </w:r>
      <w:r w:rsidRPr="000772B8">
        <w:rPr>
          <w:rFonts w:cstheme="minorHAnsi"/>
          <w:lang w:val="en-US"/>
        </w:rPr>
        <w:t>a pairing on the basis of wealth or birth, or</w:t>
      </w:r>
      <w:r w:rsidR="00FF0FB6" w:rsidRPr="000772B8">
        <w:rPr>
          <w:rFonts w:cstheme="minorHAnsi"/>
          <w:lang w:val="en-US"/>
        </w:rPr>
        <w:t xml:space="preserve"> [</w:t>
      </w:r>
      <w:r w:rsidRPr="000772B8">
        <w:rPr>
          <w:rFonts w:cstheme="minorHAnsi"/>
          <w:lang w:val="en-US"/>
        </w:rPr>
        <w:t>...</w:t>
      </w:r>
      <w:r w:rsidR="00FF0FB6" w:rsidRPr="000772B8">
        <w:rPr>
          <w:rFonts w:cstheme="minorHAnsi"/>
          <w:lang w:val="en-US"/>
        </w:rPr>
        <w:t xml:space="preserve">] </w:t>
      </w:r>
      <w:r w:rsidRPr="000772B8">
        <w:rPr>
          <w:rFonts w:cstheme="minorHAnsi"/>
          <w:lang w:val="en-US"/>
        </w:rPr>
        <w:t>an arrangement made by parents without regard to personal preferences of the young woman and young man</w:t>
      </w:r>
      <w:r w:rsidR="007A73F2" w:rsidRPr="000772B8">
        <w:rPr>
          <w:rFonts w:cstheme="minorHAnsi"/>
          <w:lang w:val="en-US"/>
        </w:rPr>
        <w:t>.</w:t>
      </w:r>
      <w:r w:rsidRPr="000772B8">
        <w:rPr>
          <w:rFonts w:cstheme="minorHAnsi"/>
          <w:lang w:val="en-US"/>
        </w:rPr>
        <w:t xml:space="preserve"> Later in the eighteenth century</w:t>
      </w:r>
      <w:r w:rsidR="007A73F2" w:rsidRPr="000772B8">
        <w:rPr>
          <w:rFonts w:cstheme="minorHAnsi"/>
          <w:lang w:val="en-US"/>
        </w:rPr>
        <w:t>,</w:t>
      </w:r>
      <w:r w:rsidRPr="000772B8">
        <w:rPr>
          <w:rFonts w:cstheme="minorHAnsi"/>
          <w:lang w:val="en-US"/>
        </w:rPr>
        <w:t xml:space="preserve"> the attitude toward marriage was changing.  They started to view marriage "as a lifetime, intimate, happy companionship based upon love, esteem, and compatibility, and both the woman and man were to have voice in choosing the spouse</w:t>
      </w:r>
      <w:r w:rsidR="00E32075" w:rsidRPr="000772B8">
        <w:rPr>
          <w:rFonts w:cstheme="minorHAnsi"/>
          <w:lang w:val="en-US"/>
        </w:rPr>
        <w:t>.</w:t>
      </w:r>
      <w:r w:rsidRPr="000772B8">
        <w:rPr>
          <w:rFonts w:cstheme="minorHAnsi"/>
          <w:lang w:val="en-US"/>
        </w:rPr>
        <w:t xml:space="preserve">" </w:t>
      </w:r>
    </w:p>
    <w:p w:rsidR="00C21F84" w:rsidRPr="000C0DB2" w:rsidRDefault="00C21F84" w:rsidP="00C21F84">
      <w:pPr>
        <w:spacing w:after="0" w:line="240" w:lineRule="auto"/>
        <w:jc w:val="both"/>
        <w:rPr>
          <w:rFonts w:eastAsia="Times New Roman" w:cstheme="minorHAnsi"/>
          <w:b/>
          <w:bCs/>
          <w:sz w:val="16"/>
          <w:szCs w:val="16"/>
          <w:lang w:val="en-US" w:eastAsia="fr-FR"/>
        </w:rPr>
      </w:pPr>
    </w:p>
    <w:p w:rsidR="00C21F84" w:rsidRPr="000772B8" w:rsidRDefault="004D4F88" w:rsidP="005F750B">
      <w:pPr>
        <w:spacing w:after="0" w:line="240" w:lineRule="auto"/>
        <w:jc w:val="both"/>
        <w:rPr>
          <w:rFonts w:eastAsia="Times New Roman" w:cstheme="minorHAnsi"/>
          <w:lang w:val="en-US" w:eastAsia="fr-FR"/>
        </w:rPr>
      </w:pPr>
      <w:r w:rsidRPr="000772B8">
        <w:rPr>
          <w:rFonts w:eastAsia="Times New Roman" w:cstheme="minorHAnsi"/>
          <w:b/>
          <w:bCs/>
          <w:lang w:val="en-US" w:eastAsia="fr-FR"/>
        </w:rPr>
        <w:t xml:space="preserve">3. </w:t>
      </w:r>
      <w:r w:rsidR="00C24038" w:rsidRPr="000772B8">
        <w:rPr>
          <w:rFonts w:eastAsia="Times New Roman" w:cstheme="minorHAnsi"/>
          <w:b/>
          <w:bCs/>
          <w:lang w:val="en-US" w:eastAsia="fr-FR"/>
        </w:rPr>
        <w:t xml:space="preserve">Synopsis of Austen’s </w:t>
      </w:r>
      <w:r w:rsidR="00C21F84" w:rsidRPr="000772B8">
        <w:rPr>
          <w:rFonts w:eastAsia="Times New Roman" w:cstheme="minorHAnsi"/>
          <w:b/>
          <w:bCs/>
          <w:i/>
          <w:iCs/>
          <w:lang w:val="en-US" w:eastAsia="fr-FR"/>
        </w:rPr>
        <w:t>Pride and Prejudice</w:t>
      </w:r>
    </w:p>
    <w:p w:rsidR="00C21F84" w:rsidRPr="000772B8" w:rsidRDefault="00C21F84" w:rsidP="005F750B">
      <w:pPr>
        <w:spacing w:after="0" w:line="240" w:lineRule="auto"/>
        <w:ind w:firstLine="708"/>
        <w:jc w:val="both"/>
        <w:rPr>
          <w:rFonts w:eastAsia="Times New Roman" w:cstheme="minorHAnsi"/>
          <w:lang w:val="en-US" w:eastAsia="fr-FR"/>
        </w:rPr>
      </w:pPr>
      <w:r w:rsidRPr="000772B8">
        <w:rPr>
          <w:rFonts w:eastAsia="Times New Roman" w:cstheme="minorHAnsi"/>
          <w:lang w:val="en-US" w:eastAsia="fr-FR"/>
        </w:rPr>
        <w:t>The news that a wealthy young gentleman named Charles Bingley has rented the manor of Netherfield Park causes a great stir in the nearby village of Longbourn, especially in the Bennet household. The Bennets have five unmarried daughters—from oldest to youngest, Jane, Elizabeth, Mary, Kitty, and Lydia—and Mrs. Bennet is desperate to see them all married. After Mr. Bennet pays a social visit to Mr. Bingley, the Bennets attend a ball at which Mr. Bingley is present. He is taken with Jane and spends much of the evening dancing with her. His close friend, Mr. Darcy, is less pleased with the evening and haughtily refuses to dance with Elizabeth, which makes everyone view him as arrogant and obnoxious.</w:t>
      </w:r>
    </w:p>
    <w:p w:rsidR="00C21F84" w:rsidRPr="000772B8" w:rsidRDefault="00C21F84" w:rsidP="005F750B">
      <w:pPr>
        <w:spacing w:after="0" w:line="240" w:lineRule="auto"/>
        <w:ind w:firstLine="708"/>
        <w:jc w:val="both"/>
        <w:rPr>
          <w:rFonts w:eastAsia="Times New Roman" w:cstheme="minorHAnsi"/>
          <w:lang w:val="en-US" w:eastAsia="fr-FR"/>
        </w:rPr>
      </w:pPr>
      <w:r w:rsidRPr="000772B8">
        <w:rPr>
          <w:rFonts w:eastAsia="Times New Roman" w:cstheme="minorHAnsi"/>
          <w:lang w:val="en-US" w:eastAsia="fr-FR"/>
        </w:rPr>
        <w:t xml:space="preserve">At social functions over subsequent weeks, however, Mr. Darcy finds himself increasingly attracted to Elizabeth’s charm and intelligence. Jane’s friendship with Mr. Bingley also continues to burgeon, and Jane pays a visit to the Bingley mansion. On her journey to the house she is caught in a downpour and catches ill, forcing her to stay at Netherfield for several days. In order to tend to Jane, Elizabeth hikes through muddy fields and arrives with a spattered </w:t>
      </w:r>
      <w:r w:rsidRPr="000772B8">
        <w:rPr>
          <w:rFonts w:eastAsia="Times New Roman" w:cstheme="minorHAnsi"/>
          <w:lang w:val="en-US" w:eastAsia="fr-FR"/>
        </w:rPr>
        <w:lastRenderedPageBreak/>
        <w:t>dress, much to the disdain of the snobbish Miss Bingley, Charles Bingley’s sister. Miss Bingley’s spite only increases when she notices that Darcy, whom she is pursuing, pays quite a bit of attention to Elizabeth.</w:t>
      </w:r>
    </w:p>
    <w:p w:rsidR="00C21F84" w:rsidRPr="000772B8" w:rsidRDefault="00C21F84" w:rsidP="005F750B">
      <w:pPr>
        <w:spacing w:after="0" w:line="240" w:lineRule="auto"/>
        <w:ind w:firstLine="708"/>
        <w:jc w:val="both"/>
        <w:rPr>
          <w:rFonts w:eastAsia="Times New Roman" w:cstheme="minorHAnsi"/>
          <w:lang w:val="en-US" w:eastAsia="fr-FR"/>
        </w:rPr>
      </w:pPr>
      <w:r w:rsidRPr="000772B8">
        <w:rPr>
          <w:rFonts w:eastAsia="Times New Roman" w:cstheme="minorHAnsi"/>
          <w:lang w:val="en-US" w:eastAsia="fr-FR"/>
        </w:rPr>
        <w:t>When Elizabeth and Jane return home, they find Mr. Collins visiting their household. Mr. Collins is a young clergyman who stands to inherit Mr. Bennet’s property, which has been “entailed,” meaning that it can only be passed down to male heirs. Mr. Collins is a pompous fool, though he is quite enthralled by the Bennet girls. Shortly after his arrival, he makes a proposal of marriage to Elizabeth. She turns him down, wounding his pride. Meanwhile, the Bennet girls have become friendly with militia officers stationed in a nearby town. Among them is Wickham, a handsome young soldier who is friendly toward Elizabeth and tells her how Darcy cruelly cheated him out of an inheritance.</w:t>
      </w:r>
    </w:p>
    <w:p w:rsidR="00C21F84" w:rsidRPr="000772B8" w:rsidRDefault="00C21F84" w:rsidP="005F750B">
      <w:pPr>
        <w:spacing w:after="0" w:line="240" w:lineRule="auto"/>
        <w:ind w:firstLine="708"/>
        <w:jc w:val="both"/>
        <w:rPr>
          <w:rFonts w:eastAsia="Times New Roman" w:cstheme="minorHAnsi"/>
          <w:lang w:val="en-US" w:eastAsia="fr-FR"/>
        </w:rPr>
      </w:pPr>
      <w:r w:rsidRPr="000772B8">
        <w:rPr>
          <w:rFonts w:eastAsia="Times New Roman" w:cstheme="minorHAnsi"/>
          <w:lang w:val="en-US" w:eastAsia="fr-FR"/>
        </w:rPr>
        <w:t>At the beginning of winter, the Bingleys and Darcy leave Netherfield and return to London, much to Jane’s dismay. A further shock arrives with the news that Mr. Collins has become engaged to Charlotte Lucas, Elizabeth’s best friend and the poor daughter of a local knight. Charlotte explains to Elizabeth that she is getting older and needs the match for financial reasons. Charlotte and Mr. Collins get married and Elizabeth promises to visit them at their new home. As winter progresses, Jane visits the city to see friends (hoping also that she might see Mr. Bingley). However, Miss Bingley visits her and behaves rudely, while Mr. Bingley fails to visit her at all. The marriage prospects for the Bennet girls appear bleak.</w:t>
      </w:r>
    </w:p>
    <w:p w:rsidR="00C21F84" w:rsidRPr="000772B8" w:rsidRDefault="00C21F84" w:rsidP="005F750B">
      <w:pPr>
        <w:spacing w:after="0" w:line="240" w:lineRule="auto"/>
        <w:ind w:firstLine="708"/>
        <w:jc w:val="both"/>
        <w:rPr>
          <w:rFonts w:eastAsia="Times New Roman" w:cstheme="minorHAnsi"/>
          <w:lang w:val="en-US" w:eastAsia="fr-FR"/>
        </w:rPr>
      </w:pPr>
      <w:r w:rsidRPr="000772B8">
        <w:rPr>
          <w:rFonts w:eastAsia="Times New Roman" w:cstheme="minorHAnsi"/>
          <w:lang w:val="en-US" w:eastAsia="fr-FR"/>
        </w:rPr>
        <w:t>That spring, Elizabeth visits Charlotte, who now lives near the home of Mr. Collins’s patron, Lady Catherine de Bourgh, who is also Darcy’s aunt. Darcy calls on Lady Catherine and encounters Elizabeth, whose presence leads him to make a number of visits to the Collins’s home, where she is staying. One day, he makes a shocking proposal of marriage, which Elizabeth quickly refuses. She tells Darcy that she considers him arrogant and unpleasant, then scolds him for steering Bingley away from Jane and disinheriting Wickham. Darcy leaves her but shortly thereafter delivers a letter to her. In this letter, he admits that he urged Bingley to distance himself from Jane, but claims he did so only because he thought their romance was not serious. As for Wickham, he informs Elizabeth that the young officer is a liar and that the real cause of their disagreement was Wickham’s attempt to elope with his young sister, Georgiana Darcy.</w:t>
      </w:r>
    </w:p>
    <w:p w:rsidR="00C21F84" w:rsidRPr="000772B8" w:rsidRDefault="00C21F84" w:rsidP="005F750B">
      <w:pPr>
        <w:spacing w:after="0" w:line="240" w:lineRule="auto"/>
        <w:ind w:firstLine="708"/>
        <w:jc w:val="both"/>
        <w:rPr>
          <w:rFonts w:eastAsia="Times New Roman" w:cstheme="minorHAnsi"/>
          <w:lang w:val="en-US" w:eastAsia="fr-FR"/>
        </w:rPr>
      </w:pPr>
      <w:r w:rsidRPr="000772B8">
        <w:rPr>
          <w:rFonts w:eastAsia="Times New Roman" w:cstheme="minorHAnsi"/>
          <w:lang w:val="en-US" w:eastAsia="fr-FR"/>
        </w:rPr>
        <w:t>This letter causes Elizabeth to reevaluate her feelings about Darcy. She returns home and acts coldly toward Wickham. The militia is leaving town, which makes the younger, rather man-crazy Bennet girls distraught. Lydia manages to obtain permission from her father to spend the summer with an old colonel in Brighton, where Wickham’s regiment will be stationed. With the arrival of June, Elizabeth goes on another journey, this time with the Gardiners, who are relatives of the Bennets. The trip takes her to the North and eventually to the neighborhood of Pemberley, Darcy’s estate. She visits Pemberley, after making sure that Darcy is away, and delights in the building and grounds, while hearing from Darcy’s servants that he is a wonderful, generous master. Suddenly, Darcy arrives and behaves cordially toward her. Making no mention of his proposal, he entertains the Gardiners and invites Elizabeth to meet his sister.</w:t>
      </w:r>
    </w:p>
    <w:p w:rsidR="00C21F84" w:rsidRPr="000772B8" w:rsidRDefault="00C21F84" w:rsidP="005F750B">
      <w:pPr>
        <w:spacing w:after="0" w:line="240" w:lineRule="auto"/>
        <w:ind w:firstLine="708"/>
        <w:jc w:val="both"/>
        <w:rPr>
          <w:rFonts w:eastAsia="Times New Roman" w:cstheme="minorHAnsi"/>
          <w:lang w:val="en-US" w:eastAsia="fr-FR"/>
        </w:rPr>
      </w:pPr>
      <w:r w:rsidRPr="000772B8">
        <w:rPr>
          <w:rFonts w:eastAsia="Times New Roman" w:cstheme="minorHAnsi"/>
          <w:lang w:val="en-US" w:eastAsia="fr-FR"/>
        </w:rPr>
        <w:t>Shortly thereafter, however, a letter arrives from home, telling Elizabeth that Lydia has eloped with Wickham and that the couple is nowhere to be found, which suggests that they may be living together out of wedlock. Fearful of the disgrace such a situation would bring on her entire family, Elizabeth hastens home. Mr. Gardiner and Mr. Bennet go off to search for Lydia, but Mr. Bennet eventually returns home empty-handed. Just when all hope seems lost, a letter comes from Mr. Gardiner saying that the couple has been found and that Wickham has agreed to marry Lydia in exchange for an annual income. The Bennets are convinced that Mr. Gardiner has paid off Wickham, but Elizabeth learns that the source of the money, and of her family’s salvation, was none other than Darcy.</w:t>
      </w:r>
    </w:p>
    <w:p w:rsidR="00C21F84" w:rsidRDefault="00C21F84" w:rsidP="005F750B">
      <w:pPr>
        <w:spacing w:after="0" w:line="240" w:lineRule="auto"/>
        <w:ind w:firstLine="708"/>
        <w:jc w:val="both"/>
        <w:rPr>
          <w:rFonts w:eastAsia="Times New Roman" w:cstheme="minorHAnsi"/>
          <w:lang w:val="en-US" w:eastAsia="fr-FR"/>
        </w:rPr>
      </w:pPr>
      <w:r w:rsidRPr="000772B8">
        <w:rPr>
          <w:rFonts w:eastAsia="Times New Roman" w:cstheme="minorHAnsi"/>
          <w:lang w:val="en-US" w:eastAsia="fr-FR"/>
        </w:rPr>
        <w:t>Now married, Wickham and Lydia return to Longbourn briefly, where Mr. Bennet treats them coldly. They then depart for Wickham’s new assignment in the North of England. Shortly thereafter, Bingley returns to Netherfield and resumes his courtship of Jane. Darcy goes to stay with him and pays visits to the Bennets but makes no mention of his desire to marry Elizabeth. Bingley, on the other hand, presses his suit and proposes to Jane, to the delight of everyone but Bingley’s haughty sister. While the family celebrates, Lady Catherine de Bourgh pays a visit to Longbourn. She corners Elizabeth and says that she has heard that Darcy, her nephew, is planning to marry her. Since she considers a Bennet an unsuitable match for a Darcy, Lady Catherine demands that Elizabeth promise to refuse him. Elizabeth spiritedly refuses, saying she is not engaged to Darcy, but she will not promise anything against her own happiness. A little later, Elizabeth and Darcy go out walking together and he tells her that his feelings have not altered since the spring. She tenderly accepts his proposal, and both Jane and Elizabeth are married.</w:t>
      </w:r>
    </w:p>
    <w:p w:rsidR="000772B8" w:rsidRPr="00A65A27" w:rsidRDefault="000772B8" w:rsidP="000772B8">
      <w:pPr>
        <w:spacing w:after="0" w:line="240" w:lineRule="auto"/>
        <w:jc w:val="both"/>
        <w:rPr>
          <w:rFonts w:eastAsia="Times New Roman" w:cstheme="minorHAnsi"/>
          <w:sz w:val="16"/>
          <w:szCs w:val="16"/>
          <w:lang w:val="en-US" w:eastAsia="fr-FR"/>
        </w:rPr>
      </w:pPr>
    </w:p>
    <w:p w:rsidR="000772B8" w:rsidRDefault="000772B8" w:rsidP="000772B8">
      <w:pPr>
        <w:spacing w:after="0" w:line="240" w:lineRule="auto"/>
        <w:jc w:val="both"/>
        <w:rPr>
          <w:rFonts w:eastAsia="Times New Roman" w:cstheme="minorHAnsi"/>
          <w:b/>
          <w:bCs/>
          <w:lang w:val="en-US" w:eastAsia="fr-FR"/>
        </w:rPr>
      </w:pPr>
      <w:r w:rsidRPr="000772B8">
        <w:rPr>
          <w:rFonts w:eastAsia="Times New Roman" w:cstheme="minorHAnsi"/>
          <w:b/>
          <w:bCs/>
          <w:u w:val="single"/>
          <w:lang w:val="en-US" w:eastAsia="fr-FR"/>
        </w:rPr>
        <w:t>Questions</w:t>
      </w:r>
      <w:r w:rsidRPr="000772B8">
        <w:rPr>
          <w:rFonts w:eastAsia="Times New Roman" w:cstheme="minorHAnsi"/>
          <w:b/>
          <w:bCs/>
          <w:lang w:val="en-US" w:eastAsia="fr-FR"/>
        </w:rPr>
        <w:t>:</w:t>
      </w:r>
    </w:p>
    <w:p w:rsidR="00D231B6" w:rsidRDefault="00BD128C" w:rsidP="00D231B6">
      <w:pPr>
        <w:pStyle w:val="Paragraphedeliste"/>
        <w:numPr>
          <w:ilvl w:val="0"/>
          <w:numId w:val="1"/>
        </w:numPr>
        <w:spacing w:after="0" w:line="240" w:lineRule="auto"/>
        <w:jc w:val="both"/>
        <w:rPr>
          <w:rFonts w:eastAsia="Times New Roman" w:cstheme="minorHAnsi"/>
          <w:lang w:val="en-US" w:eastAsia="fr-FR"/>
        </w:rPr>
      </w:pPr>
      <w:r>
        <w:rPr>
          <w:rFonts w:eastAsia="Times New Roman" w:cstheme="minorHAnsi"/>
          <w:lang w:val="en-US" w:eastAsia="fr-FR"/>
        </w:rPr>
        <w:t xml:space="preserve">In </w:t>
      </w:r>
      <w:r w:rsidRPr="00BD128C">
        <w:rPr>
          <w:rFonts w:eastAsia="Times New Roman" w:cstheme="minorHAnsi"/>
          <w:i/>
          <w:iCs/>
          <w:lang w:val="en-US" w:eastAsia="fr-FR"/>
        </w:rPr>
        <w:t>Pride and Prejudice</w:t>
      </w:r>
      <w:r>
        <w:rPr>
          <w:rFonts w:eastAsia="Times New Roman" w:cstheme="minorHAnsi"/>
          <w:lang w:val="en-US" w:eastAsia="fr-FR"/>
        </w:rPr>
        <w:t xml:space="preserve">, </w:t>
      </w:r>
      <w:r w:rsidR="00504768">
        <w:rPr>
          <w:rFonts w:eastAsia="Times New Roman" w:cstheme="minorHAnsi"/>
          <w:lang w:val="en-US" w:eastAsia="fr-FR"/>
        </w:rPr>
        <w:t>Austen correspond</w:t>
      </w:r>
      <w:r>
        <w:rPr>
          <w:rFonts w:eastAsia="Times New Roman" w:cstheme="minorHAnsi"/>
          <w:lang w:val="en-US" w:eastAsia="fr-FR"/>
        </w:rPr>
        <w:t xml:space="preserve">s </w:t>
      </w:r>
      <w:r w:rsidR="009E6143">
        <w:rPr>
          <w:rFonts w:eastAsia="Times New Roman" w:cstheme="minorHAnsi"/>
          <w:lang w:val="en-US" w:eastAsia="fr-FR"/>
        </w:rPr>
        <w:t xml:space="preserve">to </w:t>
      </w:r>
      <w:r w:rsidR="003820F0">
        <w:rPr>
          <w:rFonts w:eastAsia="Times New Roman" w:cstheme="minorHAnsi"/>
          <w:lang w:val="en-US" w:eastAsia="fr-FR"/>
        </w:rPr>
        <w:t>Elizabeth</w:t>
      </w:r>
      <w:r w:rsidR="00D231B6">
        <w:rPr>
          <w:rFonts w:eastAsia="Times New Roman" w:cstheme="minorHAnsi"/>
          <w:lang w:val="en-US" w:eastAsia="fr-FR"/>
        </w:rPr>
        <w:t>, yet Austen and Elizabeth have certain familial differences. How do you justify them?</w:t>
      </w:r>
    </w:p>
    <w:p w:rsidR="00FA264B" w:rsidRDefault="00FA264B" w:rsidP="003F3924">
      <w:pPr>
        <w:pStyle w:val="Paragraphedeliste"/>
        <w:numPr>
          <w:ilvl w:val="0"/>
          <w:numId w:val="1"/>
        </w:numPr>
        <w:spacing w:after="0" w:line="240" w:lineRule="auto"/>
        <w:jc w:val="both"/>
        <w:rPr>
          <w:rFonts w:eastAsia="Times New Roman" w:cstheme="minorHAnsi"/>
          <w:lang w:val="en-US" w:eastAsia="fr-FR"/>
        </w:rPr>
      </w:pPr>
      <w:r>
        <w:rPr>
          <w:rFonts w:eastAsia="Times New Roman" w:cstheme="minorHAnsi"/>
          <w:lang w:val="en-US" w:eastAsia="fr-FR"/>
        </w:rPr>
        <w:t>Examine</w:t>
      </w:r>
      <w:r w:rsidR="00BC27FB">
        <w:rPr>
          <w:rFonts w:eastAsia="Times New Roman" w:cstheme="minorHAnsi"/>
          <w:lang w:val="en-US" w:eastAsia="fr-FR"/>
        </w:rPr>
        <w:t xml:space="preserve"> the significance </w:t>
      </w:r>
      <w:r w:rsidR="003F3924">
        <w:rPr>
          <w:rFonts w:eastAsia="Times New Roman" w:cstheme="minorHAnsi"/>
          <w:lang w:val="en-US" w:eastAsia="fr-FR"/>
        </w:rPr>
        <w:t>of the convergence</w:t>
      </w:r>
      <w:r w:rsidR="00176D87">
        <w:rPr>
          <w:rFonts w:eastAsia="Times New Roman" w:cstheme="minorHAnsi"/>
          <w:lang w:val="en-US" w:eastAsia="fr-FR"/>
        </w:rPr>
        <w:t xml:space="preserve"> and di</w:t>
      </w:r>
      <w:r w:rsidR="003F3924">
        <w:rPr>
          <w:rFonts w:eastAsia="Times New Roman" w:cstheme="minorHAnsi"/>
          <w:lang w:val="en-US" w:eastAsia="fr-FR"/>
        </w:rPr>
        <w:t>vergence</w:t>
      </w:r>
      <w:r w:rsidR="00176D87">
        <w:rPr>
          <w:rFonts w:eastAsia="Times New Roman" w:cstheme="minorHAnsi"/>
          <w:lang w:val="en-US" w:eastAsia="fr-FR"/>
        </w:rPr>
        <w:t xml:space="preserve"> </w:t>
      </w:r>
      <w:r w:rsidR="003F3924">
        <w:rPr>
          <w:rFonts w:eastAsia="Times New Roman" w:cstheme="minorHAnsi"/>
          <w:lang w:val="en-US" w:eastAsia="fr-FR"/>
        </w:rPr>
        <w:t xml:space="preserve">of Austen and Darcy </w:t>
      </w:r>
      <w:r w:rsidR="00176D87">
        <w:rPr>
          <w:rFonts w:eastAsia="Times New Roman" w:cstheme="minorHAnsi"/>
          <w:lang w:val="en-US" w:eastAsia="fr-FR"/>
        </w:rPr>
        <w:t xml:space="preserve">in terms of their </w:t>
      </w:r>
      <w:r>
        <w:rPr>
          <w:rFonts w:eastAsia="Times New Roman" w:cstheme="minorHAnsi"/>
          <w:lang w:val="en-US" w:eastAsia="fr-FR"/>
        </w:rPr>
        <w:t>attitudes towards marriage</w:t>
      </w:r>
      <w:r w:rsidR="00176D87">
        <w:rPr>
          <w:rFonts w:eastAsia="Times New Roman" w:cstheme="minorHAnsi"/>
          <w:lang w:val="en-US" w:eastAsia="fr-FR"/>
        </w:rPr>
        <w:t>.</w:t>
      </w:r>
    </w:p>
    <w:p w:rsidR="000772B8" w:rsidRPr="000772B8" w:rsidRDefault="00EE35D4" w:rsidP="00207F85">
      <w:pPr>
        <w:pStyle w:val="Paragraphedeliste"/>
        <w:numPr>
          <w:ilvl w:val="0"/>
          <w:numId w:val="1"/>
        </w:numPr>
        <w:spacing w:after="0" w:line="240" w:lineRule="auto"/>
        <w:jc w:val="both"/>
        <w:rPr>
          <w:rFonts w:eastAsia="Times New Roman" w:cstheme="minorHAnsi"/>
          <w:lang w:val="en-US" w:eastAsia="fr-FR"/>
        </w:rPr>
      </w:pPr>
      <w:r>
        <w:rPr>
          <w:rFonts w:eastAsia="Times New Roman" w:cstheme="minorHAnsi"/>
          <w:lang w:val="en-US" w:eastAsia="fr-FR"/>
        </w:rPr>
        <w:t xml:space="preserve">How do Austen and Elizabeth react to </w:t>
      </w:r>
      <w:r w:rsidR="00207F85">
        <w:rPr>
          <w:rFonts w:eastAsia="Times New Roman" w:cstheme="minorHAnsi"/>
          <w:lang w:val="en-US" w:eastAsia="fr-FR"/>
        </w:rPr>
        <w:t xml:space="preserve">their </w:t>
      </w:r>
      <w:r>
        <w:rPr>
          <w:rFonts w:eastAsia="Times New Roman" w:cstheme="minorHAnsi"/>
          <w:lang w:val="en-US" w:eastAsia="fr-FR"/>
        </w:rPr>
        <w:t>soci</w:t>
      </w:r>
      <w:r w:rsidR="0021142E">
        <w:rPr>
          <w:rFonts w:eastAsia="Times New Roman" w:cstheme="minorHAnsi"/>
          <w:lang w:val="en-US" w:eastAsia="fr-FR"/>
        </w:rPr>
        <w:t>etal</w:t>
      </w:r>
      <w:r>
        <w:rPr>
          <w:rFonts w:eastAsia="Times New Roman" w:cstheme="minorHAnsi"/>
          <w:lang w:val="en-US" w:eastAsia="fr-FR"/>
        </w:rPr>
        <w:t xml:space="preserve"> standards?</w:t>
      </w:r>
    </w:p>
    <w:sectPr w:rsidR="000772B8" w:rsidRPr="000772B8" w:rsidSect="00C21F84">
      <w:footerReference w:type="default" r:id="rId7"/>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486" w:rsidRDefault="00883486" w:rsidP="00C21F84">
      <w:pPr>
        <w:spacing w:after="0" w:line="240" w:lineRule="auto"/>
      </w:pPr>
      <w:r>
        <w:separator/>
      </w:r>
    </w:p>
  </w:endnote>
  <w:endnote w:type="continuationSeparator" w:id="1">
    <w:p w:rsidR="00883486" w:rsidRDefault="00883486" w:rsidP="00C21F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11440"/>
      <w:docPartObj>
        <w:docPartGallery w:val="Page Numbers (Bottom of Page)"/>
        <w:docPartUnique/>
      </w:docPartObj>
    </w:sdtPr>
    <w:sdtContent>
      <w:p w:rsidR="00C21F84" w:rsidRDefault="00245A72">
        <w:pPr>
          <w:pStyle w:val="Pieddepage"/>
          <w:jc w:val="center"/>
        </w:pPr>
        <w:fldSimple w:instr=" PAGE   \* MERGEFORMAT ">
          <w:r w:rsidR="003F3924">
            <w:rPr>
              <w:noProof/>
            </w:rPr>
            <w:t>2</w:t>
          </w:r>
        </w:fldSimple>
      </w:p>
    </w:sdtContent>
  </w:sdt>
  <w:p w:rsidR="00C21F84" w:rsidRDefault="00C21F8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486" w:rsidRDefault="00883486" w:rsidP="00C21F84">
      <w:pPr>
        <w:spacing w:after="0" w:line="240" w:lineRule="auto"/>
      </w:pPr>
      <w:r>
        <w:separator/>
      </w:r>
    </w:p>
  </w:footnote>
  <w:footnote w:type="continuationSeparator" w:id="1">
    <w:p w:rsidR="00883486" w:rsidRDefault="00883486" w:rsidP="00C21F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20508"/>
    <w:multiLevelType w:val="hybridMultilevel"/>
    <w:tmpl w:val="21C854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2317DD"/>
    <w:rsid w:val="0004507E"/>
    <w:rsid w:val="000772B8"/>
    <w:rsid w:val="000926C1"/>
    <w:rsid w:val="000C0DB2"/>
    <w:rsid w:val="00104837"/>
    <w:rsid w:val="0012408C"/>
    <w:rsid w:val="00176D87"/>
    <w:rsid w:val="00207F85"/>
    <w:rsid w:val="0021142E"/>
    <w:rsid w:val="00214C1B"/>
    <w:rsid w:val="002317DD"/>
    <w:rsid w:val="00245A72"/>
    <w:rsid w:val="002C287F"/>
    <w:rsid w:val="00315217"/>
    <w:rsid w:val="003820F0"/>
    <w:rsid w:val="003F3924"/>
    <w:rsid w:val="0046530B"/>
    <w:rsid w:val="004825D2"/>
    <w:rsid w:val="004D4F88"/>
    <w:rsid w:val="00504768"/>
    <w:rsid w:val="00544B67"/>
    <w:rsid w:val="0055628F"/>
    <w:rsid w:val="005B428A"/>
    <w:rsid w:val="005C70C4"/>
    <w:rsid w:val="005F750B"/>
    <w:rsid w:val="00623660"/>
    <w:rsid w:val="006A6EAA"/>
    <w:rsid w:val="006C6912"/>
    <w:rsid w:val="006F6CF6"/>
    <w:rsid w:val="007A73F2"/>
    <w:rsid w:val="008178F5"/>
    <w:rsid w:val="00845D7B"/>
    <w:rsid w:val="0084654C"/>
    <w:rsid w:val="00883486"/>
    <w:rsid w:val="008E1CD9"/>
    <w:rsid w:val="009251A9"/>
    <w:rsid w:val="00962301"/>
    <w:rsid w:val="009A4432"/>
    <w:rsid w:val="009E6143"/>
    <w:rsid w:val="00A31071"/>
    <w:rsid w:val="00A65A27"/>
    <w:rsid w:val="00A90837"/>
    <w:rsid w:val="00AD6447"/>
    <w:rsid w:val="00B317EA"/>
    <w:rsid w:val="00BB0EDB"/>
    <w:rsid w:val="00BC27FB"/>
    <w:rsid w:val="00BD128C"/>
    <w:rsid w:val="00C10550"/>
    <w:rsid w:val="00C21F84"/>
    <w:rsid w:val="00C24038"/>
    <w:rsid w:val="00C378A8"/>
    <w:rsid w:val="00C87DDE"/>
    <w:rsid w:val="00D231B6"/>
    <w:rsid w:val="00D45F21"/>
    <w:rsid w:val="00D617E5"/>
    <w:rsid w:val="00D82DBB"/>
    <w:rsid w:val="00DA6E36"/>
    <w:rsid w:val="00DD3C03"/>
    <w:rsid w:val="00DE44B9"/>
    <w:rsid w:val="00DF48EA"/>
    <w:rsid w:val="00E32075"/>
    <w:rsid w:val="00EB28B3"/>
    <w:rsid w:val="00EE35D4"/>
    <w:rsid w:val="00FA264B"/>
    <w:rsid w:val="00FA679C"/>
    <w:rsid w:val="00FD6B65"/>
    <w:rsid w:val="00FF0FB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DBB"/>
  </w:style>
  <w:style w:type="paragraph" w:styleId="Titre1">
    <w:name w:val="heading 1"/>
    <w:basedOn w:val="Normal"/>
    <w:link w:val="Titre1Car"/>
    <w:uiPriority w:val="9"/>
    <w:qFormat/>
    <w:rsid w:val="002317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17DD"/>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2317D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C21F8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21F84"/>
  </w:style>
  <w:style w:type="paragraph" w:styleId="Pieddepage">
    <w:name w:val="footer"/>
    <w:basedOn w:val="Normal"/>
    <w:link w:val="PieddepageCar"/>
    <w:uiPriority w:val="99"/>
    <w:unhideWhenUsed/>
    <w:rsid w:val="00C21F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1F84"/>
  </w:style>
  <w:style w:type="character" w:styleId="Lienhypertexte">
    <w:name w:val="Hyperlink"/>
    <w:basedOn w:val="Policepardfaut"/>
    <w:uiPriority w:val="99"/>
    <w:semiHidden/>
    <w:unhideWhenUsed/>
    <w:rsid w:val="00C24038"/>
    <w:rPr>
      <w:color w:val="0000FF"/>
      <w:u w:val="single"/>
    </w:rPr>
  </w:style>
  <w:style w:type="character" w:styleId="Accentuation">
    <w:name w:val="Emphasis"/>
    <w:basedOn w:val="Policepardfaut"/>
    <w:uiPriority w:val="20"/>
    <w:qFormat/>
    <w:rsid w:val="00C24038"/>
    <w:rPr>
      <w:i/>
      <w:iCs/>
    </w:rPr>
  </w:style>
  <w:style w:type="paragraph" w:customStyle="1" w:styleId="nind">
    <w:name w:val="nind"/>
    <w:basedOn w:val="Normal"/>
    <w:rsid w:val="00EB28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D4F88"/>
    <w:pPr>
      <w:ind w:left="720"/>
      <w:contextualSpacing/>
    </w:pPr>
  </w:style>
</w:styles>
</file>

<file path=word/webSettings.xml><?xml version="1.0" encoding="utf-8"?>
<w:webSettings xmlns:r="http://schemas.openxmlformats.org/officeDocument/2006/relationships" xmlns:w="http://schemas.openxmlformats.org/wordprocessingml/2006/main">
  <w:divs>
    <w:div w:id="984819938">
      <w:bodyDiv w:val="1"/>
      <w:marLeft w:val="0"/>
      <w:marRight w:val="0"/>
      <w:marTop w:val="0"/>
      <w:marBottom w:val="0"/>
      <w:divBdr>
        <w:top w:val="none" w:sz="0" w:space="0" w:color="auto"/>
        <w:left w:val="none" w:sz="0" w:space="0" w:color="auto"/>
        <w:bottom w:val="none" w:sz="0" w:space="0" w:color="auto"/>
        <w:right w:val="none" w:sz="0" w:space="0" w:color="auto"/>
      </w:divBdr>
    </w:div>
    <w:div w:id="1400177372">
      <w:bodyDiv w:val="1"/>
      <w:marLeft w:val="0"/>
      <w:marRight w:val="0"/>
      <w:marTop w:val="0"/>
      <w:marBottom w:val="0"/>
      <w:divBdr>
        <w:top w:val="none" w:sz="0" w:space="0" w:color="auto"/>
        <w:left w:val="none" w:sz="0" w:space="0" w:color="auto"/>
        <w:bottom w:val="none" w:sz="0" w:space="0" w:color="auto"/>
        <w:right w:val="none" w:sz="0" w:space="0" w:color="auto"/>
      </w:divBdr>
    </w:div>
    <w:div w:id="157176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1681</Words>
  <Characters>9251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2024-11-30T21:29:00Z</dcterms:created>
  <dcterms:modified xsi:type="dcterms:W3CDTF">2024-11-30T21:41:00Z</dcterms:modified>
</cp:coreProperties>
</file>