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AA7FE4">
      <w:pPr>
        <w:bidi/>
      </w:pPr>
    </w:p>
    <w:p w:rsidR="00AA7FE4" w:rsidRPr="0032271C" w:rsidRDefault="00AA7FE4" w:rsidP="00AA7FE4">
      <w:pPr>
        <w:bidi/>
        <w:jc w:val="center"/>
        <w:rPr>
          <w:b/>
          <w:bCs/>
          <w:color w:val="FF0000"/>
          <w:sz w:val="36"/>
          <w:szCs w:val="36"/>
          <w:rtl/>
          <w:lang w:bidi="ar-DZ"/>
        </w:rPr>
      </w:pPr>
      <w:r w:rsidRPr="0032271C">
        <w:rPr>
          <w:rFonts w:hint="cs"/>
          <w:b/>
          <w:bCs/>
          <w:color w:val="FF0000"/>
          <w:sz w:val="36"/>
          <w:szCs w:val="36"/>
          <w:rtl/>
          <w:lang w:bidi="ar-DZ"/>
        </w:rPr>
        <w:t>الأسبوع</w:t>
      </w:r>
      <w:r>
        <w:rPr>
          <w:rFonts w:hint="cs"/>
          <w:b/>
          <w:bCs/>
          <w:color w:val="FF0000"/>
          <w:sz w:val="36"/>
          <w:szCs w:val="36"/>
          <w:rtl/>
          <w:lang w:bidi="ar-DZ"/>
        </w:rPr>
        <w:t xml:space="preserve"> السابع</w:t>
      </w:r>
      <w:r w:rsidRPr="0032271C">
        <w:rPr>
          <w:rFonts w:hint="cs"/>
          <w:b/>
          <w:bCs/>
          <w:color w:val="FF0000"/>
          <w:sz w:val="36"/>
          <w:szCs w:val="36"/>
          <w:rtl/>
          <w:lang w:bidi="ar-DZ"/>
        </w:rPr>
        <w:t xml:space="preserve">: </w:t>
      </w:r>
      <w:r>
        <w:rPr>
          <w:rFonts w:hint="cs"/>
          <w:b/>
          <w:bCs/>
          <w:color w:val="FF0000"/>
          <w:sz w:val="36"/>
          <w:szCs w:val="36"/>
          <w:rtl/>
          <w:lang w:bidi="ar-DZ"/>
        </w:rPr>
        <w:t>13</w:t>
      </w:r>
      <w:r w:rsidRPr="0032271C">
        <w:rPr>
          <w:rFonts w:hint="cs"/>
          <w:b/>
          <w:bCs/>
          <w:color w:val="FF0000"/>
          <w:sz w:val="36"/>
          <w:szCs w:val="36"/>
          <w:rtl/>
          <w:lang w:bidi="ar-DZ"/>
        </w:rPr>
        <w:t>/</w:t>
      </w:r>
      <w:r>
        <w:rPr>
          <w:rFonts w:hint="cs"/>
          <w:b/>
          <w:bCs/>
          <w:color w:val="FF0000"/>
          <w:sz w:val="36"/>
          <w:szCs w:val="36"/>
          <w:rtl/>
          <w:lang w:bidi="ar-DZ"/>
        </w:rPr>
        <w:t>11</w:t>
      </w:r>
      <w:r w:rsidRPr="0032271C">
        <w:rPr>
          <w:rFonts w:hint="cs"/>
          <w:b/>
          <w:bCs/>
          <w:color w:val="FF0000"/>
          <w:sz w:val="36"/>
          <w:szCs w:val="36"/>
          <w:rtl/>
          <w:lang w:bidi="ar-DZ"/>
        </w:rPr>
        <w:t>/2024</w:t>
      </w:r>
    </w:p>
    <w:p w:rsidR="00AA7FE4" w:rsidRDefault="00AA7FE4" w:rsidP="00AA7FE4">
      <w:pPr>
        <w:bidi/>
        <w:rPr>
          <w:b/>
          <w:bCs/>
          <w:sz w:val="32"/>
          <w:szCs w:val="32"/>
          <w:rtl/>
          <w:lang w:bidi="ar-DZ"/>
        </w:rPr>
      </w:pPr>
      <w:r w:rsidRPr="009865F2">
        <w:rPr>
          <w:rFonts w:hint="cs"/>
          <w:b/>
          <w:bCs/>
          <w:sz w:val="32"/>
          <w:szCs w:val="32"/>
          <w:rtl/>
          <w:lang w:bidi="ar-DZ"/>
        </w:rPr>
        <w:t>الأستاذ :حيدوسي الوردي</w:t>
      </w:r>
    </w:p>
    <w:p w:rsidR="00AA7FE4" w:rsidRDefault="00AA7FE4" w:rsidP="00AA7FE4">
      <w:pPr>
        <w:bidi/>
        <w:rPr>
          <w:b/>
          <w:bCs/>
          <w:sz w:val="32"/>
          <w:szCs w:val="32"/>
          <w:rtl/>
          <w:lang w:bidi="ar-DZ"/>
        </w:rPr>
      </w:pPr>
      <w:r>
        <w:rPr>
          <w:rFonts w:hint="cs"/>
          <w:b/>
          <w:bCs/>
          <w:sz w:val="32"/>
          <w:szCs w:val="32"/>
          <w:rtl/>
          <w:lang w:bidi="ar-DZ"/>
        </w:rPr>
        <w:t>القسم :العلوم الاجتماعية</w:t>
      </w:r>
    </w:p>
    <w:p w:rsidR="00AA7FE4" w:rsidRPr="009865F2" w:rsidRDefault="00AA7FE4" w:rsidP="00AA7FE4">
      <w:pPr>
        <w:bidi/>
        <w:rPr>
          <w:b/>
          <w:bCs/>
          <w:sz w:val="32"/>
          <w:szCs w:val="32"/>
          <w:rtl/>
          <w:lang w:bidi="ar-DZ"/>
        </w:rPr>
      </w:pPr>
      <w:r>
        <w:rPr>
          <w:rFonts w:hint="cs"/>
          <w:b/>
          <w:bCs/>
          <w:sz w:val="32"/>
          <w:szCs w:val="32"/>
          <w:rtl/>
          <w:lang w:bidi="ar-DZ"/>
        </w:rPr>
        <w:t>الشعبة:الفلسفة</w:t>
      </w:r>
    </w:p>
    <w:p w:rsidR="00AA7FE4" w:rsidRPr="009865F2" w:rsidRDefault="00AA7FE4" w:rsidP="00AA7FE4">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AA7FE4" w:rsidRPr="009865F2" w:rsidRDefault="00AA7FE4" w:rsidP="00AA7FE4">
      <w:pPr>
        <w:bidi/>
        <w:rPr>
          <w:b/>
          <w:bCs/>
          <w:sz w:val="32"/>
          <w:szCs w:val="32"/>
          <w:rtl/>
          <w:lang w:bidi="ar-DZ"/>
        </w:rPr>
      </w:pPr>
      <w:r w:rsidRPr="009865F2">
        <w:rPr>
          <w:rFonts w:hint="cs"/>
          <w:b/>
          <w:bCs/>
          <w:sz w:val="32"/>
          <w:szCs w:val="32"/>
          <w:rtl/>
          <w:lang w:bidi="ar-DZ"/>
        </w:rPr>
        <w:t xml:space="preserve">السداسي: </w:t>
      </w:r>
      <w:r>
        <w:rPr>
          <w:rFonts w:hint="cs"/>
          <w:b/>
          <w:bCs/>
          <w:sz w:val="32"/>
          <w:szCs w:val="32"/>
          <w:rtl/>
          <w:lang w:bidi="ar-DZ"/>
        </w:rPr>
        <w:t>الأول</w:t>
      </w:r>
    </w:p>
    <w:p w:rsidR="00AA7FE4" w:rsidRPr="009865F2" w:rsidRDefault="00AA7FE4" w:rsidP="00AA7FE4">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الجمال1</w:t>
      </w:r>
    </w:p>
    <w:p w:rsidR="00AA7FE4" w:rsidRPr="0032271C" w:rsidRDefault="00AA7FE4" w:rsidP="00AA7FE4">
      <w:pPr>
        <w:bidi/>
        <w:jc w:val="center"/>
        <w:rPr>
          <w:b/>
          <w:bCs/>
          <w:color w:val="FF0000"/>
          <w:sz w:val="32"/>
          <w:szCs w:val="32"/>
          <w:rtl/>
          <w:lang w:bidi="ar-DZ"/>
        </w:rPr>
      </w:pPr>
      <w:r w:rsidRPr="0032271C">
        <w:rPr>
          <w:rFonts w:hint="cs"/>
          <w:b/>
          <w:bCs/>
          <w:color w:val="FF0000"/>
          <w:sz w:val="32"/>
          <w:szCs w:val="32"/>
          <w:rtl/>
          <w:lang w:bidi="ar-DZ"/>
        </w:rPr>
        <w:t>الفوج:01</w:t>
      </w:r>
    </w:p>
    <w:p w:rsidR="00AA7FE4" w:rsidRPr="009865F2" w:rsidRDefault="00AA7FE4" w:rsidP="00AA7FE4">
      <w:pPr>
        <w:bidi/>
        <w:rPr>
          <w:b/>
          <w:bCs/>
          <w:sz w:val="32"/>
          <w:szCs w:val="32"/>
          <w:rtl/>
          <w:lang w:bidi="ar-DZ"/>
        </w:rPr>
      </w:pPr>
      <w:r>
        <w:rPr>
          <w:rFonts w:hint="cs"/>
          <w:b/>
          <w:bCs/>
          <w:sz w:val="32"/>
          <w:szCs w:val="32"/>
          <w:rtl/>
          <w:lang w:bidi="ar-DZ"/>
        </w:rPr>
        <w:t>نوع الحصة: تطبيق</w:t>
      </w:r>
    </w:p>
    <w:p w:rsidR="00AA7FE4" w:rsidRDefault="00AA7FE4" w:rsidP="00AA7FE4">
      <w:pPr>
        <w:bidi/>
        <w:jc w:val="both"/>
        <w:rPr>
          <w:b/>
          <w:bCs/>
          <w:sz w:val="32"/>
          <w:szCs w:val="32"/>
          <w:lang w:bidi="ar-DZ"/>
        </w:rPr>
      </w:pPr>
      <w:r w:rsidRPr="009865F2">
        <w:rPr>
          <w:rFonts w:hint="cs"/>
          <w:b/>
          <w:bCs/>
          <w:sz w:val="32"/>
          <w:szCs w:val="32"/>
          <w:rtl/>
          <w:lang w:bidi="ar-DZ"/>
        </w:rPr>
        <w:t xml:space="preserve">الحصة </w:t>
      </w:r>
      <w:r>
        <w:rPr>
          <w:rFonts w:hint="cs"/>
          <w:b/>
          <w:bCs/>
          <w:sz w:val="32"/>
          <w:szCs w:val="32"/>
          <w:rtl/>
          <w:lang w:bidi="ar-DZ"/>
        </w:rPr>
        <w:t>السابعة</w:t>
      </w:r>
      <w:r w:rsidRPr="009865F2">
        <w:rPr>
          <w:rFonts w:hint="cs"/>
          <w:b/>
          <w:bCs/>
          <w:sz w:val="32"/>
          <w:szCs w:val="32"/>
          <w:rtl/>
          <w:lang w:bidi="ar-DZ"/>
        </w:rPr>
        <w:t xml:space="preserve">: </w:t>
      </w:r>
      <w:r>
        <w:rPr>
          <w:rFonts w:hint="cs"/>
          <w:b/>
          <w:bCs/>
          <w:sz w:val="32"/>
          <w:szCs w:val="32"/>
          <w:rtl/>
          <w:lang w:bidi="ar-DZ"/>
        </w:rPr>
        <w:t>13/11/2024</w:t>
      </w:r>
    </w:p>
    <w:p w:rsidR="00AA7FE4" w:rsidRPr="0032271C" w:rsidRDefault="00AA7FE4" w:rsidP="00AA7FE4">
      <w:pPr>
        <w:bidi/>
        <w:jc w:val="both"/>
        <w:rPr>
          <w:b/>
          <w:bCs/>
          <w:color w:val="FF0000"/>
          <w:sz w:val="32"/>
          <w:szCs w:val="32"/>
          <w:rtl/>
          <w:lang w:bidi="ar-DZ"/>
        </w:rPr>
      </w:pPr>
      <w:r w:rsidRPr="0032271C">
        <w:rPr>
          <w:rFonts w:hint="cs"/>
          <w:b/>
          <w:bCs/>
          <w:color w:val="FF0000"/>
          <w:sz w:val="32"/>
          <w:szCs w:val="32"/>
          <w:rtl/>
          <w:lang w:bidi="ar-DZ"/>
        </w:rPr>
        <w:t>التوقيت:</w:t>
      </w:r>
      <w:r>
        <w:rPr>
          <w:rFonts w:hint="cs"/>
          <w:b/>
          <w:bCs/>
          <w:color w:val="FF0000"/>
          <w:sz w:val="32"/>
          <w:szCs w:val="32"/>
          <w:rtl/>
          <w:lang w:bidi="ar-DZ"/>
        </w:rPr>
        <w:t>08-09.30</w:t>
      </w:r>
    </w:p>
    <w:p w:rsidR="00AA7FE4" w:rsidRPr="009865F2" w:rsidRDefault="00AA7FE4" w:rsidP="00AA7FE4">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AA7FE4" w:rsidRDefault="00AA7FE4" w:rsidP="00AA7FE4">
      <w:pPr>
        <w:bidi/>
        <w:rPr>
          <w:b/>
          <w:bCs/>
          <w:sz w:val="32"/>
          <w:szCs w:val="32"/>
          <w:rtl/>
          <w:lang w:bidi="ar-DZ"/>
        </w:rPr>
      </w:pPr>
    </w:p>
    <w:p w:rsidR="00AA7FE4" w:rsidRPr="009865F2" w:rsidRDefault="00AA7FE4" w:rsidP="00AA7FE4">
      <w:pPr>
        <w:bidi/>
        <w:rPr>
          <w:b/>
          <w:bCs/>
          <w:sz w:val="32"/>
          <w:szCs w:val="32"/>
          <w:rtl/>
          <w:lang w:bidi="ar-DZ"/>
        </w:rPr>
      </w:pPr>
      <w:r w:rsidRPr="009865F2">
        <w:rPr>
          <w:rFonts w:hint="cs"/>
          <w:b/>
          <w:bCs/>
          <w:sz w:val="32"/>
          <w:szCs w:val="32"/>
          <w:rtl/>
          <w:lang w:bidi="ar-DZ"/>
        </w:rPr>
        <w:t xml:space="preserve"> البحث </w:t>
      </w:r>
      <w:r>
        <w:rPr>
          <w:rFonts w:hint="cs"/>
          <w:b/>
          <w:bCs/>
          <w:sz w:val="32"/>
          <w:szCs w:val="32"/>
          <w:rtl/>
          <w:lang w:bidi="ar-DZ"/>
        </w:rPr>
        <w:t>الثالث</w:t>
      </w:r>
      <w:r w:rsidRPr="009865F2">
        <w:rPr>
          <w:rFonts w:hint="cs"/>
          <w:b/>
          <w:bCs/>
          <w:sz w:val="32"/>
          <w:szCs w:val="32"/>
          <w:rtl/>
          <w:lang w:bidi="ar-DZ"/>
        </w:rPr>
        <w:t xml:space="preserve"> :</w:t>
      </w:r>
      <w:r w:rsidRPr="00CE6B60">
        <w:rPr>
          <w:rFonts w:hint="cs"/>
          <w:b/>
          <w:bCs/>
          <w:color w:val="FF0000"/>
          <w:sz w:val="32"/>
          <w:szCs w:val="32"/>
          <w:rtl/>
          <w:lang w:bidi="ar-DZ"/>
        </w:rPr>
        <w:t xml:space="preserve"> فلسفة الجمال</w:t>
      </w:r>
      <w:r>
        <w:rPr>
          <w:rFonts w:hint="cs"/>
          <w:b/>
          <w:bCs/>
          <w:color w:val="FF0000"/>
          <w:sz w:val="32"/>
          <w:szCs w:val="32"/>
          <w:rtl/>
          <w:lang w:bidi="ar-DZ"/>
        </w:rPr>
        <w:t xml:space="preserve"> عند هيغل</w:t>
      </w:r>
    </w:p>
    <w:p w:rsidR="00AA7FE4" w:rsidRDefault="00AA7FE4" w:rsidP="00AA7FE4">
      <w:pPr>
        <w:bidi/>
        <w:rPr>
          <w:b/>
          <w:bCs/>
          <w:sz w:val="32"/>
          <w:szCs w:val="32"/>
          <w:rtl/>
          <w:lang w:bidi="ar-DZ"/>
        </w:rPr>
      </w:pPr>
      <w:r w:rsidRPr="009865F2">
        <w:rPr>
          <w:rFonts w:hint="cs"/>
          <w:b/>
          <w:bCs/>
          <w:sz w:val="32"/>
          <w:szCs w:val="32"/>
          <w:rtl/>
          <w:lang w:bidi="ar-DZ"/>
        </w:rPr>
        <w:t xml:space="preserve">الطلبة: </w:t>
      </w:r>
    </w:p>
    <w:p w:rsidR="00AA7FE4" w:rsidRPr="009865F2" w:rsidRDefault="00AA7FE4" w:rsidP="00AA7FE4">
      <w:pPr>
        <w:bidi/>
        <w:rPr>
          <w:b/>
          <w:bCs/>
          <w:sz w:val="32"/>
          <w:szCs w:val="32"/>
          <w:rtl/>
          <w:lang w:bidi="ar-DZ"/>
        </w:rPr>
      </w:pPr>
      <w:r w:rsidRPr="009865F2">
        <w:rPr>
          <w:rFonts w:hint="cs"/>
          <w:b/>
          <w:bCs/>
          <w:sz w:val="32"/>
          <w:szCs w:val="32"/>
          <w:rtl/>
          <w:lang w:bidi="ar-DZ"/>
        </w:rPr>
        <w:t>-</w:t>
      </w:r>
      <w:r>
        <w:rPr>
          <w:rFonts w:hint="cs"/>
          <w:b/>
          <w:bCs/>
          <w:sz w:val="32"/>
          <w:szCs w:val="32"/>
          <w:rtl/>
          <w:lang w:bidi="ar-DZ"/>
        </w:rPr>
        <w:t>جودي آية</w:t>
      </w:r>
    </w:p>
    <w:p w:rsidR="00AA7FE4" w:rsidRDefault="00AA7FE4" w:rsidP="00AA7FE4">
      <w:pPr>
        <w:bidi/>
        <w:rPr>
          <w:b/>
          <w:bCs/>
          <w:sz w:val="32"/>
          <w:szCs w:val="32"/>
          <w:rtl/>
          <w:lang w:bidi="ar-DZ"/>
        </w:rPr>
      </w:pPr>
      <w:r w:rsidRPr="009865F2">
        <w:rPr>
          <w:rFonts w:hint="cs"/>
          <w:b/>
          <w:bCs/>
          <w:sz w:val="32"/>
          <w:szCs w:val="32"/>
          <w:rtl/>
          <w:lang w:bidi="ar-DZ"/>
        </w:rPr>
        <w:t>-</w:t>
      </w:r>
      <w:r>
        <w:rPr>
          <w:rFonts w:hint="cs"/>
          <w:b/>
          <w:bCs/>
          <w:sz w:val="32"/>
          <w:szCs w:val="32"/>
          <w:rtl/>
          <w:lang w:bidi="ar-DZ"/>
        </w:rPr>
        <w:t>بن عمارة سناء</w:t>
      </w:r>
    </w:p>
    <w:p w:rsidR="00AA7FE4" w:rsidRDefault="00AA7FE4" w:rsidP="00AA7FE4">
      <w:pPr>
        <w:bidi/>
        <w:rPr>
          <w:b/>
          <w:bCs/>
          <w:sz w:val="32"/>
          <w:szCs w:val="32"/>
          <w:rtl/>
          <w:lang w:bidi="ar-DZ"/>
        </w:rPr>
      </w:pPr>
      <w:r>
        <w:rPr>
          <w:rFonts w:hint="cs"/>
          <w:b/>
          <w:bCs/>
          <w:sz w:val="32"/>
          <w:szCs w:val="32"/>
          <w:rtl/>
          <w:lang w:bidi="ar-DZ"/>
        </w:rPr>
        <w:t>-عفيصة رقية</w:t>
      </w:r>
    </w:p>
    <w:p w:rsidR="00AA7FE4" w:rsidRDefault="00AA7FE4" w:rsidP="00AA7FE4">
      <w:pPr>
        <w:bidi/>
        <w:rPr>
          <w:b/>
          <w:bCs/>
          <w:sz w:val="32"/>
          <w:szCs w:val="32"/>
          <w:rtl/>
          <w:lang w:bidi="ar-DZ"/>
        </w:rPr>
      </w:pPr>
    </w:p>
    <w:p w:rsidR="00AA7FE4" w:rsidRDefault="00AA7FE4" w:rsidP="00AA7FE4">
      <w:pPr>
        <w:bidi/>
        <w:rPr>
          <w:b/>
          <w:bCs/>
          <w:sz w:val="32"/>
          <w:szCs w:val="32"/>
          <w:rtl/>
          <w:lang w:bidi="ar-DZ"/>
        </w:rPr>
      </w:pPr>
    </w:p>
    <w:p w:rsidR="00AA7FE4" w:rsidRDefault="00AA7FE4" w:rsidP="00AA7FE4">
      <w:pPr>
        <w:bidi/>
        <w:rPr>
          <w:b/>
          <w:bCs/>
          <w:sz w:val="32"/>
          <w:szCs w:val="32"/>
          <w:rtl/>
          <w:lang w:bidi="ar-DZ"/>
        </w:rPr>
      </w:pPr>
    </w:p>
    <w:p w:rsidR="00AA7FE4" w:rsidRDefault="00AA7FE4" w:rsidP="00AA7FE4">
      <w:pPr>
        <w:bidi/>
        <w:rPr>
          <w:b/>
          <w:bCs/>
          <w:sz w:val="32"/>
          <w:szCs w:val="32"/>
          <w:rtl/>
          <w:lang w:bidi="ar-DZ"/>
        </w:rPr>
      </w:pPr>
    </w:p>
    <w:p w:rsidR="00AA7FE4" w:rsidRDefault="00AA7FE4" w:rsidP="00AA7FE4">
      <w:pPr>
        <w:bidi/>
        <w:rPr>
          <w:b/>
          <w:bCs/>
          <w:sz w:val="32"/>
          <w:szCs w:val="32"/>
          <w:rtl/>
          <w:lang w:bidi="ar-DZ"/>
        </w:rPr>
      </w:pPr>
    </w:p>
    <w:p w:rsidR="00AA7FE4" w:rsidRDefault="00AA7FE4" w:rsidP="00AA7FE4">
      <w:pPr>
        <w:bidi/>
        <w:jc w:val="center"/>
        <w:rPr>
          <w:b/>
          <w:bCs/>
          <w:color w:val="FF0000"/>
          <w:sz w:val="32"/>
          <w:szCs w:val="32"/>
          <w:rtl/>
          <w:lang w:bidi="ar-DZ"/>
        </w:rPr>
      </w:pPr>
      <w:r w:rsidRPr="009A1024">
        <w:rPr>
          <w:rFonts w:hint="cs"/>
          <w:b/>
          <w:bCs/>
          <w:color w:val="FF0000"/>
          <w:sz w:val="32"/>
          <w:szCs w:val="32"/>
          <w:rtl/>
          <w:lang w:bidi="ar-DZ"/>
        </w:rPr>
        <w:t xml:space="preserve">المحاضرة </w:t>
      </w:r>
      <w:r>
        <w:rPr>
          <w:rFonts w:hint="cs"/>
          <w:b/>
          <w:bCs/>
          <w:color w:val="FF0000"/>
          <w:sz w:val="32"/>
          <w:szCs w:val="32"/>
          <w:rtl/>
          <w:lang w:bidi="ar-DZ"/>
        </w:rPr>
        <w:t>السابعة</w:t>
      </w:r>
    </w:p>
    <w:p w:rsidR="00AA7FE4" w:rsidRPr="00345388" w:rsidRDefault="00AA7FE4" w:rsidP="00AA7FE4">
      <w:pPr>
        <w:bidi/>
        <w:jc w:val="center"/>
        <w:rPr>
          <w:rFonts w:ascii="Traditional Arabic" w:hAnsi="Traditional Arabic" w:cs="Traditional Arabic"/>
          <w:b/>
          <w:bCs/>
          <w:color w:val="000000" w:themeColor="text1"/>
          <w:sz w:val="44"/>
          <w:szCs w:val="44"/>
          <w:u w:val="single"/>
          <w:lang w:bidi="ar-DZ"/>
        </w:rPr>
      </w:pPr>
      <w:r w:rsidRPr="00D7277E">
        <w:rPr>
          <w:rFonts w:ascii="Traditional Arabic" w:hAnsi="Traditional Arabic" w:cs="Traditional Arabic"/>
          <w:b/>
          <w:bCs/>
          <w:color w:val="000000" w:themeColor="text1"/>
          <w:sz w:val="44"/>
          <w:szCs w:val="44"/>
          <w:rtl/>
          <w:lang w:bidi="ar-DZ"/>
        </w:rPr>
        <w:t>الفن والجم</w:t>
      </w:r>
      <w:r>
        <w:rPr>
          <w:rFonts w:ascii="Traditional Arabic" w:hAnsi="Traditional Arabic" w:cs="Traditional Arabic"/>
          <w:b/>
          <w:bCs/>
          <w:color w:val="000000" w:themeColor="text1"/>
          <w:sz w:val="44"/>
          <w:szCs w:val="44"/>
          <w:rtl/>
          <w:lang w:bidi="ar-DZ"/>
        </w:rPr>
        <w:t xml:space="preserve">ال في الفلسفة اليونانية </w:t>
      </w:r>
      <w:r>
        <w:rPr>
          <w:rFonts w:ascii="Traditional Arabic" w:hAnsi="Traditional Arabic" w:cs="Traditional Arabic" w:hint="cs"/>
          <w:b/>
          <w:bCs/>
          <w:color w:val="000000" w:themeColor="text1"/>
          <w:sz w:val="44"/>
          <w:szCs w:val="44"/>
          <w:rtl/>
          <w:lang w:bidi="ar-DZ"/>
        </w:rPr>
        <w:t>(أرسطو تابع)</w:t>
      </w:r>
    </w:p>
    <w:p w:rsidR="00AA7FE4" w:rsidRPr="002979B1" w:rsidRDefault="00AA7FE4" w:rsidP="00AA7FE4">
      <w:pPr>
        <w:bidi/>
        <w:ind w:firstLine="567"/>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من اللعب والضحك لتكون أدعى إلى الهدوء والاستسلام،وتبنى المسرحية لدى أرسطو على العناصر التالية:</w:t>
      </w:r>
    </w:p>
    <w:p w:rsidR="00AA7FE4" w:rsidRPr="00D77F6F" w:rsidRDefault="00AA7FE4" w:rsidP="00AA7FE4">
      <w:pPr>
        <w:numPr>
          <w:ilvl w:val="0"/>
          <w:numId w:val="1"/>
        </w:numPr>
        <w:bidi/>
        <w:spacing w:after="0" w:line="240" w:lineRule="auto"/>
        <w:jc w:val="lowKashida"/>
        <w:rPr>
          <w:rFonts w:ascii="Traditional Arabic" w:hAnsi="Traditional Arabic" w:cs="Traditional Arabic"/>
          <w:b/>
          <w:bCs/>
          <w:color w:val="000000" w:themeColor="text1"/>
          <w:sz w:val="32"/>
          <w:szCs w:val="32"/>
          <w:rtl/>
        </w:rPr>
      </w:pPr>
      <w:r w:rsidRPr="00D77F6F">
        <w:rPr>
          <w:rFonts w:ascii="Traditional Arabic" w:hAnsi="Traditional Arabic" w:cs="Traditional Arabic"/>
          <w:b/>
          <w:bCs/>
          <w:color w:val="000000" w:themeColor="text1"/>
          <w:sz w:val="32"/>
          <w:szCs w:val="32"/>
          <w:rtl/>
        </w:rPr>
        <w:t>الحبكة:</w:t>
      </w:r>
    </w:p>
    <w:p w:rsidR="00AA7FE4" w:rsidRPr="002979B1" w:rsidRDefault="00AA7FE4" w:rsidP="00AA7FE4">
      <w:pPr>
        <w:bidi/>
        <w:ind w:firstLine="567"/>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 xml:space="preserve">ويُقصد بها ترتيب الأحداث أو الأشياء التي تقع في القصة، ويقرر أرسطو أن الحبكة أو القصة روح </w:t>
      </w:r>
      <w:r w:rsidRPr="002979B1">
        <w:rPr>
          <w:rFonts w:ascii="Traditional Arabic" w:hAnsi="Traditional Arabic" w:cs="Traditional Arabic"/>
          <w:b/>
          <w:bCs/>
          <w:color w:val="000000" w:themeColor="text1"/>
          <w:sz w:val="32"/>
          <w:szCs w:val="32"/>
          <w:rtl/>
        </w:rPr>
        <w:t>التراجيديا</w:t>
      </w:r>
      <w:r w:rsidRPr="002979B1">
        <w:rPr>
          <w:rFonts w:ascii="Traditional Arabic" w:hAnsi="Traditional Arabic" w:cs="Traditional Arabic"/>
          <w:color w:val="000000" w:themeColor="text1"/>
          <w:sz w:val="32"/>
          <w:szCs w:val="32"/>
          <w:rtl/>
        </w:rPr>
        <w:t xml:space="preserve"> وقوام حياتها، فالترتيب هنا منطقي بحيث أن المأساة محاكاة لعمل، وللعمل أشخاص يؤدونه، فلابد أن يكون لكل واحد صفاته الفارقة، وقد عبَّر عن الأخيرين بالخُلق والفِكر، وكانت تُستقى القصة من الأسطورة الدينية أو التاريخية، حيث تدور الأساطير اليونانية حول الإنسان،والطبيعة،والآلهة</w:t>
      </w:r>
      <w:r w:rsidRPr="002979B1">
        <w:rPr>
          <w:rStyle w:val="Appelnotedebasdep"/>
          <w:rFonts w:ascii="Traditional Arabic" w:hAnsi="Traditional Arabic" w:cs="Traditional Arabic"/>
          <w:color w:val="000000" w:themeColor="text1"/>
          <w:sz w:val="32"/>
          <w:szCs w:val="32"/>
          <w:rtl/>
        </w:rPr>
        <w:footnoteReference w:id="2"/>
      </w:r>
      <w:r w:rsidRPr="002979B1">
        <w:rPr>
          <w:rFonts w:ascii="Traditional Arabic" w:hAnsi="Traditional Arabic" w:cs="Traditional Arabic"/>
          <w:color w:val="000000" w:themeColor="text1"/>
          <w:sz w:val="32"/>
          <w:szCs w:val="32"/>
          <w:rtl/>
        </w:rPr>
        <w:t>.</w:t>
      </w:r>
    </w:p>
    <w:p w:rsidR="00AA7FE4" w:rsidRPr="002979B1" w:rsidRDefault="00AA7FE4" w:rsidP="00AA7FE4">
      <w:pPr>
        <w:numPr>
          <w:ilvl w:val="0"/>
          <w:numId w:val="1"/>
        </w:numPr>
        <w:bidi/>
        <w:spacing w:after="0" w:line="240" w:lineRule="auto"/>
        <w:jc w:val="lowKashida"/>
        <w:rPr>
          <w:rFonts w:ascii="Traditional Arabic" w:hAnsi="Traditional Arabic" w:cs="Traditional Arabic"/>
          <w:color w:val="000000" w:themeColor="text1"/>
          <w:sz w:val="32"/>
          <w:szCs w:val="32"/>
          <w:rtl/>
        </w:rPr>
      </w:pPr>
      <w:r w:rsidRPr="00D77F6F">
        <w:rPr>
          <w:rFonts w:ascii="Traditional Arabic" w:hAnsi="Traditional Arabic" w:cs="Traditional Arabic"/>
          <w:b/>
          <w:bCs/>
          <w:color w:val="000000" w:themeColor="text1"/>
          <w:sz w:val="32"/>
          <w:szCs w:val="32"/>
          <w:rtl/>
        </w:rPr>
        <w:t>الخُلق</w:t>
      </w:r>
      <w:r w:rsidRPr="002979B1">
        <w:rPr>
          <w:rFonts w:ascii="Traditional Arabic" w:hAnsi="Traditional Arabic" w:cs="Traditional Arabic"/>
          <w:color w:val="000000" w:themeColor="text1"/>
          <w:sz w:val="32"/>
          <w:szCs w:val="32"/>
          <w:rtl/>
        </w:rPr>
        <w:t>:</w:t>
      </w:r>
    </w:p>
    <w:p w:rsidR="00AA7FE4" w:rsidRPr="002979B1" w:rsidRDefault="00AA7FE4" w:rsidP="00AA7FE4">
      <w:pPr>
        <w:bidi/>
        <w:ind w:firstLine="567"/>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ويُقصد به الشخصيات التي تقوم بالفعل، على اعتبار أن لكل شخصية نوعاً من السلوك والتصرفات، ويعرِّفه بأنه ما</w:t>
      </w:r>
      <w:r w:rsidRPr="002979B1">
        <w:rPr>
          <w:rFonts w:ascii="Traditional Arabic" w:hAnsi="Traditional Arabic" w:cs="Traditional Arabic"/>
          <w:color w:val="000000" w:themeColor="text1"/>
          <w:sz w:val="32"/>
          <w:szCs w:val="32"/>
        </w:rPr>
        <w:t xml:space="preserve"> </w:t>
      </w:r>
      <w:r w:rsidRPr="002979B1">
        <w:rPr>
          <w:rFonts w:ascii="Traditional Arabic" w:hAnsi="Traditional Arabic" w:cs="Traditional Arabic"/>
          <w:color w:val="000000" w:themeColor="text1"/>
          <w:sz w:val="32"/>
          <w:szCs w:val="32"/>
          <w:rtl/>
        </w:rPr>
        <w:t>يرسم طريق السلوك وهو ما</w:t>
      </w:r>
      <w:r w:rsidRPr="002979B1">
        <w:rPr>
          <w:rFonts w:ascii="Traditional Arabic" w:hAnsi="Traditional Arabic" w:cs="Traditional Arabic"/>
          <w:color w:val="000000" w:themeColor="text1"/>
          <w:sz w:val="32"/>
          <w:szCs w:val="32"/>
        </w:rPr>
        <w:t xml:space="preserve"> </w:t>
      </w:r>
      <w:r w:rsidRPr="002979B1">
        <w:rPr>
          <w:rFonts w:ascii="Traditional Arabic" w:hAnsi="Traditional Arabic" w:cs="Traditional Arabic"/>
          <w:color w:val="000000" w:themeColor="text1"/>
          <w:sz w:val="32"/>
          <w:szCs w:val="32"/>
          <w:rtl/>
        </w:rPr>
        <w:t>يختاره المرء إذا ما</w:t>
      </w:r>
      <w:r w:rsidRPr="002979B1">
        <w:rPr>
          <w:rFonts w:ascii="Traditional Arabic" w:hAnsi="Traditional Arabic" w:cs="Traditional Arabic"/>
          <w:color w:val="000000" w:themeColor="text1"/>
          <w:sz w:val="32"/>
          <w:szCs w:val="32"/>
        </w:rPr>
        <w:t xml:space="preserve"> </w:t>
      </w:r>
      <w:r w:rsidRPr="002979B1">
        <w:rPr>
          <w:rFonts w:ascii="Traditional Arabic" w:hAnsi="Traditional Arabic" w:cs="Traditional Arabic"/>
          <w:color w:val="000000" w:themeColor="text1"/>
          <w:sz w:val="32"/>
          <w:szCs w:val="32"/>
          <w:rtl/>
        </w:rPr>
        <w:t xml:space="preserve">أشكل الأمر أو يتجنبه، والأقوال مثل الأفعال تدل على سلوك محدود، إن كان حميداً كان الخُلق حميدا،وهو من أهم عناصر المسرحية </w:t>
      </w:r>
      <w:r w:rsidRPr="002979B1">
        <w:rPr>
          <w:rFonts w:ascii="Traditional Arabic" w:hAnsi="Traditional Arabic" w:cs="Traditional Arabic"/>
          <w:b/>
          <w:bCs/>
          <w:color w:val="000000" w:themeColor="text1"/>
          <w:sz w:val="32"/>
          <w:szCs w:val="32"/>
          <w:rtl/>
        </w:rPr>
        <w:t>الكوميدية</w:t>
      </w:r>
      <w:r w:rsidRPr="002979B1">
        <w:rPr>
          <w:rFonts w:ascii="Traditional Arabic" w:hAnsi="Traditional Arabic" w:cs="Traditional Arabic"/>
          <w:color w:val="000000" w:themeColor="text1"/>
          <w:sz w:val="32"/>
          <w:szCs w:val="32"/>
          <w:rtl/>
        </w:rPr>
        <w:t xml:space="preserve">؛ إذ المحاكاة فيها للشخصية قبل الفعل، بخلاف </w:t>
      </w:r>
      <w:r w:rsidRPr="002979B1">
        <w:rPr>
          <w:rFonts w:ascii="Traditional Arabic" w:hAnsi="Traditional Arabic" w:cs="Traditional Arabic"/>
          <w:b/>
          <w:bCs/>
          <w:color w:val="000000" w:themeColor="text1"/>
          <w:sz w:val="32"/>
          <w:szCs w:val="32"/>
          <w:rtl/>
        </w:rPr>
        <w:t>التراجيديا</w:t>
      </w:r>
      <w:r w:rsidRPr="002979B1">
        <w:rPr>
          <w:rFonts w:ascii="Traditional Arabic" w:hAnsi="Traditional Arabic" w:cs="Traditional Arabic"/>
          <w:color w:val="000000" w:themeColor="text1"/>
          <w:sz w:val="32"/>
          <w:szCs w:val="32"/>
          <w:rtl/>
        </w:rPr>
        <w:t xml:space="preserve"> التي تقوم على محاكاة الفعل كما أوضحنا في تعريفهما.</w:t>
      </w:r>
    </w:p>
    <w:p w:rsidR="00AA7FE4" w:rsidRPr="002979B1" w:rsidRDefault="00AA7FE4" w:rsidP="00AA7FE4">
      <w:pPr>
        <w:bidi/>
        <w:ind w:firstLine="567"/>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وشخصيات التراجيديا كلها آلهة أو أنصافها، ثم شملت العِظام من البشر كالملوك والأمراء؛ لأن مصيرهم يؤثر على الشعب فيتأثر الجمهور، وقوتهم وقدرتهم على أن يقيموا صراعاً مع القدر</w:t>
      </w:r>
      <w:r w:rsidRPr="002979B1">
        <w:rPr>
          <w:rStyle w:val="Appelnotedebasdep"/>
          <w:rFonts w:ascii="Traditional Arabic" w:hAnsi="Traditional Arabic" w:cs="Traditional Arabic"/>
          <w:b/>
          <w:bCs/>
          <w:color w:val="000000" w:themeColor="text1"/>
          <w:sz w:val="32"/>
          <w:szCs w:val="32"/>
          <w:rtl/>
        </w:rPr>
        <w:footnoteReference w:id="3"/>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rPr>
        <w:t>ويشترط أرسطو أن تكون الشخصية فاضلة وسطيَّة بين الإفراط في الفضيلة والتفريط، وخاصة في المسرحيات التراجيدية؛ رداً على أفلاطون الذي وصف الفن بأنه غير أخلاقي لأنه يقدم صوراً من الرذيلة، واشترط أيضا التوافق بين صفات الشخصية وخَلقها الأصيل، والمشابهة بينها وبين مثيلاتها في الحياة لتكون مقنعةً، وأن تكون متناسقةً في أفعالها وسلوكها وأقوالها، وهذا من أمانة الكاتب في عرضِ الشخوص على الجمهور كما يراها في الواقع.</w:t>
      </w:r>
    </w:p>
    <w:p w:rsidR="00AA7FE4" w:rsidRPr="00D77F6F" w:rsidRDefault="00AA7FE4" w:rsidP="00AA7FE4">
      <w:pPr>
        <w:numPr>
          <w:ilvl w:val="0"/>
          <w:numId w:val="1"/>
        </w:numPr>
        <w:bidi/>
        <w:spacing w:after="0" w:line="240" w:lineRule="auto"/>
        <w:jc w:val="lowKashida"/>
        <w:rPr>
          <w:rFonts w:ascii="Traditional Arabic" w:hAnsi="Traditional Arabic" w:cs="Traditional Arabic"/>
          <w:b/>
          <w:bCs/>
          <w:color w:val="000000" w:themeColor="text1"/>
          <w:sz w:val="32"/>
          <w:szCs w:val="32"/>
          <w:rtl/>
        </w:rPr>
      </w:pPr>
      <w:r w:rsidRPr="00D77F6F">
        <w:rPr>
          <w:rFonts w:ascii="Traditional Arabic" w:hAnsi="Traditional Arabic" w:cs="Traditional Arabic"/>
          <w:b/>
          <w:bCs/>
          <w:color w:val="000000" w:themeColor="text1"/>
          <w:sz w:val="32"/>
          <w:szCs w:val="32"/>
          <w:rtl/>
        </w:rPr>
        <w:lastRenderedPageBreak/>
        <w:t>الفكر:</w:t>
      </w:r>
    </w:p>
    <w:p w:rsidR="00AA7FE4" w:rsidRPr="002979B1" w:rsidRDefault="00AA7FE4" w:rsidP="00AA7FE4">
      <w:pPr>
        <w:bidi/>
        <w:ind w:firstLine="567"/>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 xml:space="preserve">يحرص الكاتب على أن تكون لديه فكرة ينقلها إلى المشاهد بالوسيلة الفنية التي يجيدها أو يتخذها أداة للاتصال بالآخرين، ويعرِّفها أرسطو بأنها كل مايدلي به القائل سواء ليبين حقيقة عامة أو يقرر رأيا </w:t>
      </w:r>
      <w:r w:rsidRPr="002979B1">
        <w:rPr>
          <w:rStyle w:val="Appelnotedebasdep"/>
          <w:rFonts w:ascii="Traditional Arabic" w:hAnsi="Traditional Arabic" w:cs="Traditional Arabic"/>
          <w:b/>
          <w:bCs/>
          <w:color w:val="000000" w:themeColor="text1"/>
          <w:sz w:val="32"/>
          <w:szCs w:val="32"/>
          <w:rtl/>
        </w:rPr>
        <w:footnoteReference w:id="4"/>
      </w:r>
      <w:r w:rsidRPr="002979B1">
        <w:rPr>
          <w:rFonts w:ascii="Traditional Arabic" w:hAnsi="Traditional Arabic" w:cs="Traditional Arabic"/>
          <w:color w:val="000000" w:themeColor="text1"/>
          <w:sz w:val="32"/>
          <w:szCs w:val="32"/>
          <w:rtl/>
        </w:rPr>
        <w:t>،وعماد الفكر اللغة عامة، ولكن في المسرحية يجب أن يعتمد الشاعر في إظهار فِكْره محل ترتيب الأحداث احتمالاً أو ضرورة، ويندرج تحت الفكر كل تأثير ينشأ عن استعمال اللغة، ويدخل في ذلك: البرهنة، والتفنيد، وإثارة الانفعالات في المأساة التي هي أساس الرحمة والخوف، ومنها أيضاً  التعظيم والتحقير.</w:t>
      </w:r>
    </w:p>
    <w:p w:rsidR="00AA7FE4" w:rsidRPr="00D77F6F" w:rsidRDefault="00AA7FE4" w:rsidP="00AA7FE4">
      <w:pPr>
        <w:numPr>
          <w:ilvl w:val="0"/>
          <w:numId w:val="1"/>
        </w:numPr>
        <w:bidi/>
        <w:spacing w:after="0" w:line="240" w:lineRule="auto"/>
        <w:jc w:val="lowKashida"/>
        <w:rPr>
          <w:rFonts w:ascii="Traditional Arabic" w:hAnsi="Traditional Arabic" w:cs="Traditional Arabic"/>
          <w:b/>
          <w:bCs/>
          <w:color w:val="000000" w:themeColor="text1"/>
          <w:sz w:val="32"/>
          <w:szCs w:val="32"/>
          <w:rtl/>
        </w:rPr>
      </w:pPr>
      <w:r w:rsidRPr="00D77F6F">
        <w:rPr>
          <w:rFonts w:ascii="Traditional Arabic" w:hAnsi="Traditional Arabic" w:cs="Traditional Arabic"/>
          <w:b/>
          <w:bCs/>
          <w:color w:val="000000" w:themeColor="text1"/>
          <w:sz w:val="32"/>
          <w:szCs w:val="32"/>
          <w:rtl/>
        </w:rPr>
        <w:t>اللغة:</w:t>
      </w:r>
    </w:p>
    <w:p w:rsidR="00AA7FE4" w:rsidRPr="002979B1" w:rsidRDefault="00AA7FE4" w:rsidP="00AA7FE4">
      <w:pPr>
        <w:bidi/>
        <w:ind w:firstLine="567"/>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بعد أن كانت اللغة لغةَ طقوس مشعوَذة، أصبحت لغةً واضحةً مفهومة ، وأصبح الحوار هو العنصر الرئيس فيها؛ إذ يدفع بالأحداث ويكشف أبعاد الشخصية النفسية والفكرية والاجتماعية</w:t>
      </w:r>
      <w:r w:rsidRPr="002979B1">
        <w:rPr>
          <w:rStyle w:val="Appelnotedebasdep"/>
          <w:rFonts w:ascii="Traditional Arabic" w:hAnsi="Traditional Arabic" w:cs="Traditional Arabic"/>
          <w:b/>
          <w:bCs/>
          <w:color w:val="000000" w:themeColor="text1"/>
          <w:sz w:val="32"/>
          <w:szCs w:val="32"/>
          <w:rtl/>
        </w:rPr>
        <w:footnoteReference w:id="5"/>
      </w:r>
      <w:r w:rsidRPr="002979B1">
        <w:rPr>
          <w:rFonts w:ascii="Traditional Arabic" w:hAnsi="Traditional Arabic" w:cs="Traditional Arabic"/>
          <w:color w:val="000000" w:themeColor="text1"/>
          <w:sz w:val="32"/>
          <w:szCs w:val="32"/>
          <w:rtl/>
        </w:rPr>
        <w:t>.</w:t>
      </w:r>
    </w:p>
    <w:p w:rsidR="00AA7FE4" w:rsidRPr="00D77F6F" w:rsidRDefault="00AA7FE4" w:rsidP="00AA7FE4">
      <w:pPr>
        <w:numPr>
          <w:ilvl w:val="0"/>
          <w:numId w:val="1"/>
        </w:numPr>
        <w:bidi/>
        <w:spacing w:after="0" w:line="240" w:lineRule="auto"/>
        <w:jc w:val="lowKashida"/>
        <w:rPr>
          <w:rFonts w:ascii="Traditional Arabic" w:hAnsi="Traditional Arabic" w:cs="Traditional Arabic"/>
          <w:b/>
          <w:bCs/>
          <w:color w:val="000000" w:themeColor="text1"/>
          <w:sz w:val="32"/>
          <w:szCs w:val="32"/>
          <w:rtl/>
        </w:rPr>
      </w:pPr>
      <w:r w:rsidRPr="00D77F6F">
        <w:rPr>
          <w:rFonts w:ascii="Traditional Arabic" w:hAnsi="Traditional Arabic" w:cs="Traditional Arabic"/>
          <w:b/>
          <w:bCs/>
          <w:color w:val="000000" w:themeColor="text1"/>
          <w:sz w:val="32"/>
          <w:szCs w:val="32"/>
          <w:rtl/>
        </w:rPr>
        <w:t>المرئيات المسرحية:</w:t>
      </w:r>
    </w:p>
    <w:p w:rsidR="00AA7FE4" w:rsidRPr="002979B1" w:rsidRDefault="00AA7FE4" w:rsidP="00AA7FE4">
      <w:pPr>
        <w:bidi/>
        <w:ind w:firstLine="567"/>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رقص الفرقة كان عملاً تقليدياً يوفر منظراً فوق خشبة المسرح، ثم أصبحت الجوقة تؤدي دوراً من حيث أنها تحمل اعتقاداً معيناً، وقد تتحدث بلسان الكاتب أو تأخذ دور البطولة،وتتألف الجوقة من اثني عشر أو خمسة عشر شيخاً أو فتى من رجال طيبة، وهم يمثلون جمهوراً مثالياً، يتجاوب مع الأحداث بالطريقة التي يريد الكاتبُ الجمهورَ أن يتجاوب معها، وتتميز بمظهر غريب كحيوانات ومخلوقات عجيبة، وتظهر أحيانا أشخاص خرافيين نصفهم الأعلى على هيئة بشر والأسفل على هيئة ماعز، والجوقة انفعال ديني موجود قبل وجود الشخصيات، وهي أبدع وسائل الفن المسرحي عند اليونانيين</w:t>
      </w:r>
      <w:r w:rsidRPr="00AC7A56">
        <w:rPr>
          <w:rStyle w:val="Appelnotedebasdep"/>
          <w:rFonts w:ascii="Traditional Arabic" w:hAnsi="Traditional Arabic" w:cs="Traditional Arabic"/>
          <w:b/>
          <w:bCs/>
          <w:color w:val="000000" w:themeColor="text1"/>
          <w:sz w:val="32"/>
          <w:szCs w:val="32"/>
          <w:rtl/>
        </w:rPr>
        <w:footnoteReference w:id="6"/>
      </w:r>
      <w:r w:rsidRPr="00AC7A56">
        <w:rPr>
          <w:rFonts w:ascii="Traditional Arabic" w:hAnsi="Traditional Arabic" w:cs="Traditional Arabic"/>
          <w:b/>
          <w:bCs/>
          <w:color w:val="000000" w:themeColor="text1"/>
          <w:sz w:val="32"/>
          <w:szCs w:val="32"/>
          <w:rtl/>
        </w:rPr>
        <w:t>،</w:t>
      </w:r>
      <w:r w:rsidRPr="002979B1">
        <w:rPr>
          <w:rFonts w:ascii="Traditional Arabic" w:hAnsi="Traditional Arabic" w:cs="Traditional Arabic"/>
          <w:color w:val="000000" w:themeColor="text1"/>
          <w:sz w:val="32"/>
          <w:szCs w:val="32"/>
          <w:rtl/>
        </w:rPr>
        <w:t>ثم قلَّت أهمية الكورس شيئاً فشيئاً، وحصر أرسطو قيمة الجوقة في مساعدتها على تقديم الفعل في المسرحية، ثم اختفت في العصر الكلاسيكي.</w:t>
      </w:r>
    </w:p>
    <w:p w:rsidR="00AA7FE4" w:rsidRPr="00D77F6F" w:rsidRDefault="00AA7FE4" w:rsidP="00AA7FE4">
      <w:pPr>
        <w:bidi/>
        <w:spacing w:after="0" w:line="240" w:lineRule="auto"/>
        <w:ind w:left="720"/>
        <w:jc w:val="lowKashida"/>
        <w:rPr>
          <w:rFonts w:ascii="Traditional Arabic" w:hAnsi="Traditional Arabic" w:cs="Traditional Arabic"/>
          <w:b/>
          <w:bCs/>
          <w:color w:val="000000" w:themeColor="text1"/>
          <w:sz w:val="32"/>
          <w:szCs w:val="32"/>
        </w:rPr>
      </w:pPr>
      <w:r w:rsidRPr="00D77F6F">
        <w:rPr>
          <w:rFonts w:ascii="Traditional Arabic" w:hAnsi="Traditional Arabic" w:cs="Traditional Arabic"/>
          <w:b/>
          <w:bCs/>
          <w:color w:val="000000" w:themeColor="text1"/>
          <w:sz w:val="32"/>
          <w:szCs w:val="32"/>
          <w:rtl/>
        </w:rPr>
        <w:t>6/الغناء:</w:t>
      </w:r>
    </w:p>
    <w:p w:rsidR="00AA7FE4" w:rsidRPr="002979B1" w:rsidRDefault="00AA7FE4" w:rsidP="00AA7FE4">
      <w:pPr>
        <w:bidi/>
        <w:ind w:left="-142"/>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وهو العنصر الأخير، وقد أهمل أرسطو تعريفه على اعتبار أنه من العناصر المعروفة بين عامة الناس.</w:t>
      </w:r>
    </w:p>
    <w:p w:rsidR="00AA7FE4" w:rsidRPr="002979B1" w:rsidRDefault="00AA7FE4" w:rsidP="00AA7FE4">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ab/>
        <w:t xml:space="preserve">لقد </w:t>
      </w:r>
      <w:r w:rsidRPr="002979B1">
        <w:rPr>
          <w:rFonts w:ascii="Traditional Arabic" w:hAnsi="Traditional Arabic" w:cs="Traditional Arabic"/>
          <w:color w:val="000000" w:themeColor="text1"/>
          <w:sz w:val="32"/>
          <w:szCs w:val="32"/>
          <w:rtl/>
          <w:lang w:bidi="ar-DZ"/>
        </w:rPr>
        <w:t xml:space="preserve">تمرد أرسطو على أستاذه أفلاطون بالنسبة للفن،حيث دافع عن المحاكاة وأعاد لها الشرعية معرفيا وأخلاقيا: </w:t>
      </w:r>
    </w:p>
    <w:p w:rsidR="00AA7FE4" w:rsidRPr="002979B1" w:rsidRDefault="00AA7FE4" w:rsidP="00AA7FE4">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lastRenderedPageBreak/>
        <w:t>*معرفيا:</w:t>
      </w:r>
      <w:r w:rsidRPr="002979B1">
        <w:rPr>
          <w:rFonts w:ascii="Traditional Arabic" w:hAnsi="Traditional Arabic" w:cs="Traditional Arabic"/>
          <w:color w:val="000000" w:themeColor="text1"/>
          <w:sz w:val="32"/>
          <w:szCs w:val="32"/>
          <w:rtl/>
          <w:lang w:bidi="ar-DZ"/>
        </w:rPr>
        <w:t>من الناحية المعرفية فإن المحاكاة فعل مشروع لسببين ،</w:t>
      </w:r>
      <w:r w:rsidRPr="002979B1">
        <w:rPr>
          <w:rFonts w:ascii="Traditional Arabic" w:hAnsi="Traditional Arabic" w:cs="Traditional Arabic"/>
          <w:b/>
          <w:bCs/>
          <w:color w:val="000000" w:themeColor="text1"/>
          <w:sz w:val="32"/>
          <w:szCs w:val="32"/>
          <w:rtl/>
          <w:lang w:bidi="ar-DZ"/>
        </w:rPr>
        <w:t>الأول</w:t>
      </w:r>
      <w:r w:rsidRPr="002979B1">
        <w:rPr>
          <w:rFonts w:ascii="Traditional Arabic" w:hAnsi="Traditional Arabic" w:cs="Traditional Arabic"/>
          <w:color w:val="000000" w:themeColor="text1"/>
          <w:sz w:val="32"/>
          <w:szCs w:val="32"/>
          <w:rtl/>
          <w:lang w:bidi="ar-DZ"/>
        </w:rPr>
        <w:t xml:space="preserve"> لأنها غريزية لدى الإنسان،و</w:t>
      </w:r>
      <w:r w:rsidRPr="002979B1">
        <w:rPr>
          <w:rFonts w:ascii="Traditional Arabic" w:hAnsi="Traditional Arabic" w:cs="Traditional Arabic"/>
          <w:b/>
          <w:bCs/>
          <w:color w:val="000000" w:themeColor="text1"/>
          <w:sz w:val="32"/>
          <w:szCs w:val="32"/>
          <w:rtl/>
          <w:lang w:bidi="ar-DZ"/>
        </w:rPr>
        <w:t>الثاني</w:t>
      </w:r>
      <w:r w:rsidRPr="002979B1">
        <w:rPr>
          <w:rFonts w:ascii="Traditional Arabic" w:hAnsi="Traditional Arabic" w:cs="Traditional Arabic"/>
          <w:color w:val="000000" w:themeColor="text1"/>
          <w:sz w:val="32"/>
          <w:szCs w:val="32"/>
          <w:rtl/>
          <w:lang w:bidi="ar-DZ"/>
        </w:rPr>
        <w:t xml:space="preserve"> بواسطة المحاكاة يكتسب الإنسان معارفه الأولية ،حيث يتصل مع الطبيعة وهي مشروعة لأنها تقودنا إلى معرفة الأشياء وصورها في عالم المثل. </w:t>
      </w:r>
    </w:p>
    <w:p w:rsidR="00AA7FE4" w:rsidRPr="002979B1" w:rsidRDefault="00AA7FE4" w:rsidP="00AA7FE4">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*أخلاقيا</w:t>
      </w:r>
      <w:r w:rsidRPr="002979B1">
        <w:rPr>
          <w:rFonts w:ascii="Traditional Arabic" w:hAnsi="Traditional Arabic" w:cs="Traditional Arabic"/>
          <w:color w:val="000000" w:themeColor="text1"/>
          <w:sz w:val="32"/>
          <w:szCs w:val="32"/>
          <w:rtl/>
          <w:lang w:bidi="ar-DZ"/>
        </w:rPr>
        <w:t>:من الوجهة الأخلاقية المحاكاة مشروعة لكونها تحقق لذة وتقود إلى السعادة ليس لفئة الفلاسفة فقط بل لجميع الناس،حيث يقول أرسطو في هذا السياق</w:t>
      </w:r>
      <w:r w:rsidRPr="002979B1">
        <w:rPr>
          <w:rFonts w:ascii="Traditional Arabic" w:hAnsi="Traditional Arabic" w:cs="Traditional Arabic"/>
          <w:b/>
          <w:bCs/>
          <w:color w:val="000000" w:themeColor="text1"/>
          <w:sz w:val="32"/>
          <w:szCs w:val="32"/>
          <w:rtl/>
          <w:lang w:bidi="ar-DZ"/>
        </w:rPr>
        <w:t>:"فالمحاكاة غريزة في الإنسان تظهر فيه منذ الطفولة"</w:t>
      </w:r>
      <w:r w:rsidRPr="002979B1">
        <w:rPr>
          <w:rStyle w:val="Appelnotedebasdep"/>
          <w:rFonts w:ascii="Traditional Arabic" w:hAnsi="Traditional Arabic" w:cs="Traditional Arabic"/>
          <w:b/>
          <w:bCs/>
          <w:color w:val="000000" w:themeColor="text1"/>
          <w:sz w:val="32"/>
          <w:szCs w:val="32"/>
          <w:rtl/>
          <w:lang w:bidi="ar-DZ"/>
        </w:rPr>
        <w:footnoteReference w:id="7"/>
      </w:r>
      <w:r w:rsidRPr="002979B1">
        <w:rPr>
          <w:rFonts w:ascii="Traditional Arabic" w:hAnsi="Traditional Arabic" w:cs="Traditional Arabic"/>
          <w:color w:val="000000" w:themeColor="text1"/>
          <w:sz w:val="32"/>
          <w:szCs w:val="32"/>
          <w:rtl/>
          <w:lang w:bidi="ar-DZ"/>
        </w:rPr>
        <w:t>،وأن لذة لمحاكاة هي لذة الحكمة والتعلم وتقود إلى السعادة وهي غاية الأخلاق،أي اللذة التي تطلب لذاتها،وحسب أرسطو فمعلوم أن السعادة ليست حكرا على الفلاسفة فقط،بل قد يشاركهم في ذلك بقية الناس خلاف ما ذهب إليه أفلاطون،ومثال ذلك مسرحية تعرض على خشبة المسرح  عدة مرات والجمهور يتفرج عليها ، لكن القراءات متعددة ومختلفة،وأثرها على نفوس الجمهور ليس واحدا بالضرورة.</w:t>
      </w:r>
    </w:p>
    <w:p w:rsidR="00AA7FE4" w:rsidRPr="002979B1" w:rsidRDefault="00AA7FE4" w:rsidP="00AA7FE4">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ab/>
        <w:t xml:space="preserve">من جهة ثانية فإن معرفة المحاكاة صادقة وحقيقية عكس ما ذهب إليه أفلاطون ،ولذتها عامة لكل الناس و ليس الفلاسفة وحدهم ،لذا سوف يعود كل الفنانون إلى المدنية بمن فيهم هوميروس باسم حق المواطنة،ويعرف أرسطو المحاكاة بأنها </w:t>
      </w:r>
      <w:r w:rsidRPr="002979B1">
        <w:rPr>
          <w:rFonts w:ascii="Traditional Arabic" w:hAnsi="Traditional Arabic" w:cs="Traditional Arabic"/>
          <w:b/>
          <w:bCs/>
          <w:color w:val="000000" w:themeColor="text1"/>
          <w:sz w:val="32"/>
          <w:szCs w:val="32"/>
          <w:rtl/>
          <w:lang w:bidi="ar-DZ"/>
        </w:rPr>
        <w:t xml:space="preserve">إيجاد ما لم تستطع الطبيعة إيجاده على النحو الذي يمكن إن توجده عليه لو أنها أوجدته </w:t>
      </w:r>
      <w:r w:rsidRPr="002979B1">
        <w:rPr>
          <w:rStyle w:val="Appelnotedebasdep"/>
          <w:rFonts w:ascii="Traditional Arabic" w:hAnsi="Traditional Arabic" w:cs="Traditional Arabic"/>
          <w:b/>
          <w:bCs/>
          <w:color w:val="000000" w:themeColor="text1"/>
          <w:sz w:val="32"/>
          <w:szCs w:val="32"/>
          <w:rtl/>
          <w:lang w:bidi="ar-DZ"/>
        </w:rPr>
        <w:footnoteReference w:id="8"/>
      </w:r>
      <w:r w:rsidRPr="002979B1">
        <w:rPr>
          <w:rFonts w:ascii="Traditional Arabic" w:hAnsi="Traditional Arabic" w:cs="Traditional Arabic"/>
          <w:color w:val="000000" w:themeColor="text1"/>
          <w:sz w:val="32"/>
          <w:szCs w:val="32"/>
          <w:rtl/>
          <w:lang w:bidi="ar-DZ"/>
        </w:rPr>
        <w:t>،فالطبيعة هي القوة الباطنية للأشياء،والظواهر فيها ناقصة أي غير فنية أحيانا ،فيتدخل الفنان لإكمال النقص شريطة محاكاة ممكن الوجود،ومثال ذلك  الطبيب حينما يعالج التشوهات فهو يحاكي الخلق السليم للطبيعة،ويعالج المريض على منوال ذلك المثال الموجود في الطبيعة فعليا،والرسام حينما بحاكي منظرا طبيعيا جميلا ويضيف إليه لمسته الجمالية،فهو يعتمد على خياله ويتصور شكلا ومنظرا أجمل لم توجده الطبيعة ولكنه ممكن الوجود،فيقوم بإكمال النقص الموجود في الطبيعة بلمسته الفنية القائمة فيما ينبغي أن يكون عليه المنظر لا فيما هو كائن عليه فعلا.</w:t>
      </w:r>
    </w:p>
    <w:p w:rsidR="00AA7FE4" w:rsidRPr="00AA7FE4" w:rsidRDefault="00AA7FE4" w:rsidP="00AA7FE4">
      <w:pPr>
        <w:bidi/>
        <w:ind w:firstLine="567"/>
        <w:jc w:val="mediumKashida"/>
        <w:rPr>
          <w:lang w:bidi="ar-DZ"/>
        </w:rPr>
      </w:pPr>
    </w:p>
    <w:sectPr w:rsidR="00AA7FE4" w:rsidRPr="00AA7FE4"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F1C" w:rsidRDefault="00C14F1C" w:rsidP="00AA7FE4">
      <w:pPr>
        <w:spacing w:after="0" w:line="240" w:lineRule="auto"/>
      </w:pPr>
      <w:r>
        <w:separator/>
      </w:r>
    </w:p>
  </w:endnote>
  <w:endnote w:type="continuationSeparator" w:id="1">
    <w:p w:rsidR="00C14F1C" w:rsidRDefault="00C14F1C" w:rsidP="00AA7F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F1C" w:rsidRDefault="00C14F1C" w:rsidP="00AA7FE4">
      <w:pPr>
        <w:spacing w:after="0" w:line="240" w:lineRule="auto"/>
      </w:pPr>
      <w:r>
        <w:separator/>
      </w:r>
    </w:p>
  </w:footnote>
  <w:footnote w:type="continuationSeparator" w:id="1">
    <w:p w:rsidR="00C14F1C" w:rsidRDefault="00C14F1C" w:rsidP="00AA7FE4">
      <w:pPr>
        <w:spacing w:after="0" w:line="240" w:lineRule="auto"/>
      </w:pPr>
      <w:r>
        <w:continuationSeparator/>
      </w:r>
    </w:p>
  </w:footnote>
  <w:footnote w:id="2">
    <w:p w:rsidR="00AA7FE4" w:rsidRDefault="00AA7FE4" w:rsidP="00AA7FE4">
      <w:pPr>
        <w:pStyle w:val="Notedebasdepage"/>
        <w:bidi/>
      </w:pPr>
      <w:r w:rsidRPr="00A56815">
        <w:rPr>
          <w:rStyle w:val="Appelnotedebasdep"/>
          <w:rFonts w:ascii="Traditional Arabic" w:hAnsi="Traditional Arabic" w:cs="Traditional Arabic"/>
          <w:b/>
          <w:bCs/>
          <w:sz w:val="28"/>
          <w:szCs w:val="28"/>
        </w:rPr>
        <w:footnoteRef/>
      </w:r>
      <w:r w:rsidRPr="00A56815">
        <w:rPr>
          <w:rFonts w:ascii="Traditional Arabic" w:hAnsi="Traditional Arabic" w:cs="Traditional Arabic"/>
          <w:b/>
          <w:bCs/>
          <w:sz w:val="28"/>
          <w:szCs w:val="28"/>
        </w:rPr>
        <w:t xml:space="preserve"> </w:t>
      </w:r>
      <w:r w:rsidRPr="007E7FA9">
        <w:rPr>
          <w:rFonts w:ascii="Traditional Arabic" w:hAnsi="Traditional Arabic" w:cs="Traditional Arabic"/>
          <w:b/>
          <w:bCs/>
          <w:sz w:val="28"/>
          <w:szCs w:val="28"/>
          <w:rtl/>
        </w:rPr>
        <w:t>سيد حامد النساج،</w:t>
      </w:r>
      <w:r w:rsidRPr="007E7FA9">
        <w:rPr>
          <w:rFonts w:cs="Traditional Arabic" w:hint="eastAsia"/>
          <w:sz w:val="28"/>
          <w:szCs w:val="28"/>
          <w:rtl/>
        </w:rPr>
        <w:t>البناء</w:t>
      </w:r>
      <w:r w:rsidRPr="007E7FA9">
        <w:rPr>
          <w:rFonts w:cs="Traditional Arabic"/>
          <w:sz w:val="28"/>
          <w:szCs w:val="28"/>
          <w:rtl/>
        </w:rPr>
        <w:t xml:space="preserve"> </w:t>
      </w:r>
      <w:r w:rsidRPr="007E7FA9">
        <w:rPr>
          <w:rFonts w:cs="Traditional Arabic" w:hint="eastAsia"/>
          <w:sz w:val="28"/>
          <w:szCs w:val="28"/>
          <w:rtl/>
        </w:rPr>
        <w:t>الدرامي</w:t>
      </w:r>
      <w:r w:rsidRPr="007E7FA9">
        <w:rPr>
          <w:rFonts w:cs="Traditional Arabic"/>
          <w:sz w:val="28"/>
          <w:szCs w:val="28"/>
          <w:rtl/>
        </w:rPr>
        <w:t xml:space="preserve"> </w:t>
      </w:r>
      <w:r w:rsidRPr="007E7FA9">
        <w:rPr>
          <w:rFonts w:cs="Traditional Arabic" w:hint="eastAsia"/>
          <w:sz w:val="28"/>
          <w:szCs w:val="28"/>
          <w:rtl/>
        </w:rPr>
        <w:t>للمأساة</w:t>
      </w:r>
      <w:r w:rsidRPr="007E7FA9">
        <w:rPr>
          <w:rFonts w:cs="Traditional Arabic"/>
          <w:sz w:val="28"/>
          <w:szCs w:val="28"/>
          <w:rtl/>
        </w:rPr>
        <w:t xml:space="preserve"> </w:t>
      </w:r>
      <w:r w:rsidRPr="007E7FA9">
        <w:rPr>
          <w:rFonts w:cs="Traditional Arabic" w:hint="eastAsia"/>
          <w:sz w:val="28"/>
          <w:szCs w:val="28"/>
          <w:rtl/>
        </w:rPr>
        <w:t>عند</w:t>
      </w:r>
      <w:r w:rsidRPr="007E7FA9">
        <w:rPr>
          <w:rFonts w:cs="Traditional Arabic"/>
          <w:sz w:val="28"/>
          <w:szCs w:val="28"/>
          <w:rtl/>
        </w:rPr>
        <w:t xml:space="preserve"> </w:t>
      </w:r>
      <w:r w:rsidRPr="007E7FA9">
        <w:rPr>
          <w:rFonts w:cs="Traditional Arabic" w:hint="eastAsia"/>
          <w:sz w:val="28"/>
          <w:szCs w:val="28"/>
          <w:rtl/>
        </w:rPr>
        <w:t>أرسطو،دار</w:t>
      </w:r>
      <w:r w:rsidRPr="007E7FA9">
        <w:rPr>
          <w:rFonts w:cs="Traditional Arabic"/>
          <w:sz w:val="28"/>
          <w:szCs w:val="28"/>
          <w:rtl/>
        </w:rPr>
        <w:t xml:space="preserve"> </w:t>
      </w:r>
      <w:r w:rsidRPr="007E7FA9">
        <w:rPr>
          <w:rFonts w:cs="Traditional Arabic" w:hint="eastAsia"/>
          <w:sz w:val="28"/>
          <w:szCs w:val="28"/>
          <w:rtl/>
        </w:rPr>
        <w:t>غريب</w:t>
      </w:r>
      <w:r w:rsidRPr="007E7FA9">
        <w:rPr>
          <w:rFonts w:cs="Traditional Arabic"/>
          <w:sz w:val="28"/>
          <w:szCs w:val="28"/>
          <w:rtl/>
        </w:rPr>
        <w:t xml:space="preserve"> </w:t>
      </w:r>
      <w:r w:rsidRPr="007E7FA9">
        <w:rPr>
          <w:rFonts w:cs="Traditional Arabic" w:hint="eastAsia"/>
          <w:sz w:val="28"/>
          <w:szCs w:val="28"/>
          <w:rtl/>
        </w:rPr>
        <w:t>للطباعة</w:t>
      </w:r>
      <w:r w:rsidRPr="007E7FA9">
        <w:rPr>
          <w:rFonts w:cs="Traditional Arabic"/>
          <w:sz w:val="28"/>
          <w:szCs w:val="28"/>
          <w:rtl/>
        </w:rPr>
        <w:t xml:space="preserve"> </w:t>
      </w:r>
      <w:r w:rsidRPr="007E7FA9">
        <w:rPr>
          <w:rFonts w:cs="Traditional Arabic" w:hint="eastAsia"/>
          <w:sz w:val="28"/>
          <w:szCs w:val="28"/>
          <w:rtl/>
        </w:rPr>
        <w:t>والنشر،القاهرة،</w:t>
      </w:r>
      <w:r w:rsidRPr="007E7FA9">
        <w:rPr>
          <w:rFonts w:cs="Traditional Arabic"/>
          <w:sz w:val="28"/>
          <w:szCs w:val="28"/>
          <w:rtl/>
        </w:rPr>
        <w:t xml:space="preserve">1989 </w:t>
      </w:r>
      <w:r w:rsidRPr="007E7FA9">
        <w:rPr>
          <w:rFonts w:cs="Traditional Arabic" w:hint="eastAsia"/>
          <w:sz w:val="28"/>
          <w:szCs w:val="28"/>
          <w:rtl/>
        </w:rPr>
        <w:t>،ص</w:t>
      </w:r>
      <w:r w:rsidRPr="007E7FA9">
        <w:rPr>
          <w:rFonts w:cs="Traditional Arabic"/>
          <w:sz w:val="28"/>
          <w:szCs w:val="28"/>
          <w:rtl/>
        </w:rPr>
        <w:t>31</w:t>
      </w:r>
    </w:p>
  </w:footnote>
  <w:footnote w:id="3">
    <w:p w:rsidR="00AA7FE4" w:rsidRDefault="00AA7FE4" w:rsidP="00AA7FE4">
      <w:pPr>
        <w:pStyle w:val="Notedebasdepage"/>
        <w:bidi/>
      </w:pPr>
      <w:r w:rsidRPr="007E7FA9">
        <w:rPr>
          <w:rStyle w:val="Appelnotedebasdep"/>
          <w:rFonts w:ascii="Traditional Arabic" w:hAnsi="Traditional Arabic" w:cs="Traditional Arabic"/>
          <w:b/>
          <w:bCs/>
          <w:sz w:val="28"/>
          <w:szCs w:val="28"/>
        </w:rPr>
        <w:footnoteRef/>
      </w:r>
      <w:r w:rsidRPr="007E7FA9">
        <w:rPr>
          <w:rFonts w:ascii="Traditional Arabic" w:hAnsi="Traditional Arabic" w:cs="Traditional Arabic"/>
          <w:b/>
          <w:bCs/>
          <w:sz w:val="28"/>
          <w:szCs w:val="28"/>
        </w:rPr>
        <w:t xml:space="preserve"> </w:t>
      </w:r>
      <w:r w:rsidRPr="007E7FA9">
        <w:rPr>
          <w:rFonts w:ascii="Traditional Arabic" w:hAnsi="Traditional Arabic" w:cs="Traditional Arabic"/>
          <w:b/>
          <w:bCs/>
          <w:sz w:val="28"/>
          <w:szCs w:val="28"/>
          <w:rtl/>
        </w:rPr>
        <w:t>سيد حامد النساج</w:t>
      </w:r>
      <w:r>
        <w:rPr>
          <w:rFonts w:ascii="Traditional Arabic" w:hAnsi="Traditional Arabic" w:cs="Traditional Arabic"/>
          <w:b/>
          <w:bCs/>
          <w:sz w:val="28"/>
          <w:szCs w:val="28"/>
          <w:rtl/>
        </w:rPr>
        <w:t>،</w:t>
      </w:r>
      <w:r w:rsidRPr="007E7FA9">
        <w:rPr>
          <w:rFonts w:cs="Traditional Arabic"/>
          <w:sz w:val="28"/>
          <w:szCs w:val="28"/>
          <w:rtl/>
        </w:rPr>
        <w:t xml:space="preserve"> </w:t>
      </w:r>
      <w:r w:rsidRPr="007E7FA9">
        <w:rPr>
          <w:rFonts w:cs="Traditional Arabic" w:hint="eastAsia"/>
          <w:sz w:val="28"/>
          <w:szCs w:val="28"/>
          <w:rtl/>
        </w:rPr>
        <w:t>البناء</w:t>
      </w:r>
      <w:r w:rsidRPr="007E7FA9">
        <w:rPr>
          <w:rFonts w:cs="Traditional Arabic"/>
          <w:sz w:val="28"/>
          <w:szCs w:val="28"/>
          <w:rtl/>
        </w:rPr>
        <w:t xml:space="preserve"> </w:t>
      </w:r>
      <w:r w:rsidRPr="007E7FA9">
        <w:rPr>
          <w:rFonts w:cs="Traditional Arabic" w:hint="eastAsia"/>
          <w:sz w:val="28"/>
          <w:szCs w:val="28"/>
          <w:rtl/>
        </w:rPr>
        <w:t>الدرامي</w:t>
      </w:r>
      <w:r w:rsidRPr="007E7FA9">
        <w:rPr>
          <w:rFonts w:cs="Traditional Arabic"/>
          <w:sz w:val="28"/>
          <w:szCs w:val="28"/>
          <w:rtl/>
        </w:rPr>
        <w:t xml:space="preserve"> </w:t>
      </w:r>
      <w:r w:rsidRPr="007E7FA9">
        <w:rPr>
          <w:rFonts w:cs="Traditional Arabic" w:hint="eastAsia"/>
          <w:sz w:val="28"/>
          <w:szCs w:val="28"/>
          <w:rtl/>
        </w:rPr>
        <w:t>للمأساة</w:t>
      </w:r>
      <w:r w:rsidRPr="007E7FA9">
        <w:rPr>
          <w:rFonts w:cs="Traditional Arabic"/>
          <w:sz w:val="28"/>
          <w:szCs w:val="28"/>
          <w:rtl/>
        </w:rPr>
        <w:t xml:space="preserve"> </w:t>
      </w:r>
      <w:r w:rsidRPr="007E7FA9">
        <w:rPr>
          <w:rFonts w:cs="Traditional Arabic" w:hint="eastAsia"/>
          <w:sz w:val="28"/>
          <w:szCs w:val="28"/>
          <w:rtl/>
        </w:rPr>
        <w:t>عند</w:t>
      </w:r>
      <w:r w:rsidRPr="007E7FA9">
        <w:rPr>
          <w:rFonts w:cs="Traditional Arabic"/>
          <w:sz w:val="28"/>
          <w:szCs w:val="28"/>
          <w:rtl/>
        </w:rPr>
        <w:t xml:space="preserve"> </w:t>
      </w:r>
      <w:r w:rsidRPr="007E7FA9">
        <w:rPr>
          <w:rFonts w:cs="Traditional Arabic" w:hint="eastAsia"/>
          <w:sz w:val="28"/>
          <w:szCs w:val="28"/>
          <w:rtl/>
        </w:rPr>
        <w:t>أرسطو</w:t>
      </w:r>
      <w:r w:rsidRPr="007E7FA9">
        <w:rPr>
          <w:rFonts w:ascii="Traditional Arabic" w:hAnsi="Traditional Arabic" w:cs="Traditional Arabic"/>
          <w:sz w:val="28"/>
          <w:szCs w:val="28"/>
          <w:rtl/>
        </w:rPr>
        <w:t>،ص44</w:t>
      </w:r>
      <w:r>
        <w:rPr>
          <w:rFonts w:ascii="Traditional Arabic" w:hAnsi="Traditional Arabic" w:cs="Traditional Arabic"/>
          <w:sz w:val="28"/>
          <w:szCs w:val="28"/>
        </w:rPr>
        <w:t>.</w:t>
      </w:r>
    </w:p>
  </w:footnote>
  <w:footnote w:id="4">
    <w:p w:rsidR="00AA7FE4" w:rsidRDefault="00AA7FE4" w:rsidP="00AA7FE4">
      <w:pPr>
        <w:pStyle w:val="Notedebasdepage"/>
        <w:bidi/>
      </w:pPr>
      <w:r w:rsidRPr="007E7FA9">
        <w:rPr>
          <w:rStyle w:val="Appelnotedebasdep"/>
          <w:rFonts w:ascii="Traditional Arabic" w:hAnsi="Traditional Arabic" w:cs="Traditional Arabic"/>
          <w:b/>
          <w:bCs/>
          <w:sz w:val="28"/>
          <w:szCs w:val="28"/>
        </w:rPr>
        <w:footnoteRef/>
      </w:r>
      <w:r w:rsidRPr="007E7FA9">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المرجع نفسه،</w:t>
      </w:r>
      <w:r w:rsidRPr="007E7FA9">
        <w:rPr>
          <w:rFonts w:ascii="Traditional Arabic" w:hAnsi="Traditional Arabic" w:cs="Traditional Arabic"/>
          <w:sz w:val="28"/>
          <w:szCs w:val="28"/>
          <w:rtl/>
        </w:rPr>
        <w:t>ص50</w:t>
      </w:r>
      <w:r>
        <w:rPr>
          <w:rFonts w:ascii="Traditional Arabic" w:hAnsi="Traditional Arabic" w:cs="Traditional Arabic"/>
          <w:sz w:val="28"/>
          <w:szCs w:val="28"/>
        </w:rPr>
        <w:t>.</w:t>
      </w:r>
    </w:p>
  </w:footnote>
  <w:footnote w:id="5">
    <w:p w:rsidR="00AA7FE4" w:rsidRDefault="00AA7FE4" w:rsidP="00AA7FE4">
      <w:pPr>
        <w:pStyle w:val="Notedebasdepage"/>
        <w:bidi/>
      </w:pPr>
      <w:r w:rsidRPr="007E7FA9">
        <w:rPr>
          <w:rStyle w:val="Appelnotedebasdep"/>
          <w:rFonts w:ascii="Traditional Arabic" w:hAnsi="Traditional Arabic" w:cs="Traditional Arabic"/>
          <w:b/>
          <w:bCs/>
          <w:sz w:val="28"/>
          <w:szCs w:val="28"/>
        </w:rPr>
        <w:footnoteRef/>
      </w:r>
      <w:r w:rsidRPr="007E7FA9">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المرجع نفسه،</w:t>
      </w:r>
      <w:r w:rsidRPr="007E7FA9">
        <w:rPr>
          <w:rFonts w:ascii="Traditional Arabic" w:hAnsi="Traditional Arabic" w:cs="Traditional Arabic"/>
          <w:sz w:val="28"/>
          <w:szCs w:val="28"/>
          <w:rtl/>
        </w:rPr>
        <w:t>ص</w:t>
      </w:r>
      <w:r>
        <w:rPr>
          <w:rFonts w:ascii="Traditional Arabic" w:hAnsi="Traditional Arabic" w:cs="Traditional Arabic"/>
          <w:sz w:val="28"/>
          <w:szCs w:val="28"/>
          <w:rtl/>
        </w:rPr>
        <w:t>51</w:t>
      </w:r>
      <w:r>
        <w:rPr>
          <w:rFonts w:ascii="Traditional Arabic" w:hAnsi="Traditional Arabic" w:cs="Traditional Arabic"/>
          <w:sz w:val="28"/>
          <w:szCs w:val="28"/>
        </w:rPr>
        <w:t>.</w:t>
      </w:r>
    </w:p>
  </w:footnote>
  <w:footnote w:id="6">
    <w:p w:rsidR="00AA7FE4" w:rsidRDefault="00AA7FE4" w:rsidP="00AA7FE4">
      <w:pPr>
        <w:pStyle w:val="Notedebasdepage"/>
        <w:bidi/>
      </w:pPr>
      <w:r w:rsidRPr="007E7FA9">
        <w:rPr>
          <w:rStyle w:val="Appelnotedebasdep"/>
          <w:rFonts w:ascii="Traditional Arabic" w:hAnsi="Traditional Arabic" w:cs="Traditional Arabic"/>
          <w:b/>
          <w:bCs/>
          <w:sz w:val="28"/>
          <w:szCs w:val="28"/>
        </w:rPr>
        <w:footnoteRef/>
      </w:r>
      <w:r w:rsidRPr="007E7FA9">
        <w:rPr>
          <w:rFonts w:ascii="Traditional Arabic" w:hAnsi="Traditional Arabic" w:cs="Traditional Arabic"/>
          <w:b/>
          <w:bCs/>
          <w:sz w:val="28"/>
          <w:szCs w:val="28"/>
        </w:rPr>
        <w:t xml:space="preserve"> </w:t>
      </w:r>
      <w:r w:rsidRPr="007E7FA9">
        <w:rPr>
          <w:rFonts w:ascii="Traditional Arabic" w:hAnsi="Traditional Arabic" w:cs="Traditional Arabic"/>
          <w:b/>
          <w:bCs/>
          <w:sz w:val="28"/>
          <w:szCs w:val="28"/>
          <w:rtl/>
        </w:rPr>
        <w:t>سيد حامد النساج،</w:t>
      </w:r>
      <w:r w:rsidRPr="007E7FA9">
        <w:rPr>
          <w:rFonts w:cs="Traditional Arabic" w:hint="eastAsia"/>
          <w:sz w:val="28"/>
          <w:szCs w:val="28"/>
          <w:rtl/>
        </w:rPr>
        <w:t>البناء</w:t>
      </w:r>
      <w:r w:rsidRPr="007E7FA9">
        <w:rPr>
          <w:rFonts w:cs="Traditional Arabic"/>
          <w:sz w:val="28"/>
          <w:szCs w:val="28"/>
          <w:rtl/>
        </w:rPr>
        <w:t xml:space="preserve"> </w:t>
      </w:r>
      <w:r w:rsidRPr="007E7FA9">
        <w:rPr>
          <w:rFonts w:cs="Traditional Arabic" w:hint="eastAsia"/>
          <w:sz w:val="28"/>
          <w:szCs w:val="28"/>
          <w:rtl/>
        </w:rPr>
        <w:t>الدرامي</w:t>
      </w:r>
      <w:r w:rsidRPr="007E7FA9">
        <w:rPr>
          <w:rFonts w:cs="Traditional Arabic"/>
          <w:sz w:val="28"/>
          <w:szCs w:val="28"/>
          <w:rtl/>
        </w:rPr>
        <w:t xml:space="preserve"> </w:t>
      </w:r>
      <w:r w:rsidRPr="007E7FA9">
        <w:rPr>
          <w:rFonts w:cs="Traditional Arabic" w:hint="eastAsia"/>
          <w:sz w:val="28"/>
          <w:szCs w:val="28"/>
          <w:rtl/>
        </w:rPr>
        <w:t>للمأساة</w:t>
      </w:r>
      <w:r w:rsidRPr="007E7FA9">
        <w:rPr>
          <w:rFonts w:cs="Traditional Arabic"/>
          <w:sz w:val="28"/>
          <w:szCs w:val="28"/>
          <w:rtl/>
        </w:rPr>
        <w:t xml:space="preserve"> </w:t>
      </w:r>
      <w:r w:rsidRPr="007E7FA9">
        <w:rPr>
          <w:rFonts w:cs="Traditional Arabic" w:hint="eastAsia"/>
          <w:sz w:val="28"/>
          <w:szCs w:val="28"/>
          <w:rtl/>
        </w:rPr>
        <w:t>عند</w:t>
      </w:r>
      <w:r w:rsidRPr="007E7FA9">
        <w:rPr>
          <w:rFonts w:cs="Traditional Arabic"/>
          <w:sz w:val="28"/>
          <w:szCs w:val="28"/>
          <w:rtl/>
        </w:rPr>
        <w:t xml:space="preserve"> </w:t>
      </w:r>
      <w:r w:rsidRPr="007E7FA9">
        <w:rPr>
          <w:rFonts w:cs="Traditional Arabic" w:hint="eastAsia"/>
          <w:sz w:val="28"/>
          <w:szCs w:val="28"/>
          <w:rtl/>
        </w:rPr>
        <w:t>أرسطو</w:t>
      </w:r>
      <w:r>
        <w:rPr>
          <w:rFonts w:cs="Traditional Arabic" w:hint="eastAsia"/>
          <w:sz w:val="28"/>
          <w:szCs w:val="28"/>
          <w:rtl/>
        </w:rPr>
        <w:t>،ص</w:t>
      </w:r>
      <w:r>
        <w:rPr>
          <w:rFonts w:cs="Traditional Arabic"/>
          <w:sz w:val="28"/>
          <w:szCs w:val="28"/>
          <w:rtl/>
        </w:rPr>
        <w:t>50</w:t>
      </w:r>
    </w:p>
  </w:footnote>
  <w:footnote w:id="7">
    <w:p w:rsidR="00AA7FE4" w:rsidRDefault="00AA7FE4" w:rsidP="00AA7FE4">
      <w:pPr>
        <w:pStyle w:val="Notedebasdepage"/>
        <w:bidi/>
      </w:pPr>
      <w:r w:rsidRPr="001F5682">
        <w:rPr>
          <w:rStyle w:val="Appelnotedebasdep"/>
          <w:rFonts w:ascii="Traditional Arabic" w:hAnsi="Traditional Arabic" w:cs="Traditional Arabic"/>
          <w:b/>
          <w:bCs/>
          <w:sz w:val="28"/>
          <w:szCs w:val="28"/>
        </w:rPr>
        <w:footnoteRef/>
      </w:r>
      <w:r w:rsidRPr="001F5682">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 xml:space="preserve"> أرسطو،</w:t>
      </w:r>
      <w:r w:rsidRPr="007F77BE">
        <w:rPr>
          <w:rFonts w:ascii="Traditional Arabic" w:hAnsi="Traditional Arabic" w:cs="Traditional Arabic"/>
          <w:sz w:val="28"/>
          <w:szCs w:val="28"/>
          <w:rtl/>
        </w:rPr>
        <w:t>فن الشعر،ترجمة عبد الرحمن بدوي،دار</w:t>
      </w:r>
      <w:r>
        <w:rPr>
          <w:rFonts w:ascii="Traditional Arabic" w:hAnsi="Traditional Arabic" w:cs="Traditional Arabic"/>
          <w:sz w:val="28"/>
          <w:szCs w:val="28"/>
          <w:rtl/>
        </w:rPr>
        <w:t xml:space="preserve"> </w:t>
      </w:r>
      <w:r w:rsidRPr="007F77BE">
        <w:rPr>
          <w:rFonts w:ascii="Traditional Arabic" w:hAnsi="Traditional Arabic" w:cs="Traditional Arabic"/>
          <w:sz w:val="28"/>
          <w:szCs w:val="28"/>
          <w:rtl/>
        </w:rPr>
        <w:t>الثقافة</w:t>
      </w:r>
      <w:r>
        <w:rPr>
          <w:rFonts w:ascii="Traditional Arabic" w:hAnsi="Traditional Arabic" w:cs="Traditional Arabic"/>
          <w:sz w:val="28"/>
          <w:szCs w:val="28"/>
          <w:rtl/>
          <w:lang w:bidi="ar-DZ"/>
        </w:rPr>
        <w:t>،</w:t>
      </w:r>
      <w:r w:rsidRPr="007F77BE">
        <w:rPr>
          <w:rFonts w:ascii="Traditional Arabic" w:hAnsi="Traditional Arabic" w:cs="Traditional Arabic"/>
          <w:sz w:val="28"/>
          <w:szCs w:val="28"/>
          <w:rtl/>
        </w:rPr>
        <w:t xml:space="preserve"> بيروت ،دط،ص3</w:t>
      </w:r>
    </w:p>
  </w:footnote>
  <w:footnote w:id="8">
    <w:p w:rsidR="00AA7FE4" w:rsidRDefault="00AA7FE4" w:rsidP="00AA7FE4">
      <w:pPr>
        <w:pStyle w:val="Notedebasdepage"/>
        <w:bidi/>
      </w:pPr>
      <w:r w:rsidRPr="00D07E02">
        <w:rPr>
          <w:rStyle w:val="Appelnotedebasdep"/>
          <w:rFonts w:ascii="Traditional Arabic" w:hAnsi="Traditional Arabic" w:cs="Traditional Arabic"/>
          <w:b/>
          <w:bCs/>
          <w:sz w:val="28"/>
          <w:szCs w:val="28"/>
        </w:rPr>
        <w:footnoteRef/>
      </w:r>
      <w:r w:rsidRPr="00D07E02">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 xml:space="preserve"> </w:t>
      </w:r>
      <w:r>
        <w:rPr>
          <w:rFonts w:ascii="Traditional Arabic" w:hAnsi="Traditional Arabic" w:cs="Traditional Arabic"/>
          <w:b/>
          <w:bCs/>
          <w:sz w:val="28"/>
          <w:szCs w:val="28"/>
          <w:rtl/>
          <w:lang w:bidi="ar-DZ"/>
        </w:rPr>
        <w:t>المصدر نفسه</w:t>
      </w:r>
      <w:r>
        <w:rPr>
          <w:rFonts w:ascii="Traditional Arabic" w:hAnsi="Traditional Arabic" w:cs="Traditional Arabic"/>
          <w:b/>
          <w:bCs/>
          <w:sz w:val="28"/>
          <w:szCs w:val="28"/>
          <w:rtl/>
        </w:rPr>
        <w:t xml:space="preserve"> </w:t>
      </w:r>
      <w:r w:rsidRPr="007F77BE">
        <w:rPr>
          <w:rFonts w:ascii="Traditional Arabic" w:hAnsi="Traditional Arabic" w:cs="Traditional Arabic"/>
          <w:sz w:val="28"/>
          <w:szCs w:val="28"/>
          <w:rtl/>
        </w:rPr>
        <w:t>،ص31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85EA6"/>
    <w:multiLevelType w:val="hybridMultilevel"/>
    <w:tmpl w:val="ADE6041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AA7FE4"/>
    <w:rsid w:val="001736D1"/>
    <w:rsid w:val="00257092"/>
    <w:rsid w:val="005B7253"/>
    <w:rsid w:val="008E2381"/>
    <w:rsid w:val="00AA7FE4"/>
    <w:rsid w:val="00C14F1C"/>
    <w:rsid w:val="00C17093"/>
    <w:rsid w:val="00CE14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FE4"/>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AA7FE4"/>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AA7FE4"/>
    <w:rPr>
      <w:rFonts w:eastAsia="Times New Roman"/>
      <w:sz w:val="20"/>
      <w:szCs w:val="20"/>
    </w:rPr>
  </w:style>
  <w:style w:type="character" w:styleId="Appelnotedebasdep">
    <w:name w:val="footnote reference"/>
    <w:basedOn w:val="Policepardfaut"/>
    <w:uiPriority w:val="99"/>
    <w:semiHidden/>
    <w:unhideWhenUsed/>
    <w:rsid w:val="00AA7FE4"/>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766</Words>
  <Characters>4218</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1</cp:revision>
  <dcterms:created xsi:type="dcterms:W3CDTF">2024-10-25T13:46:00Z</dcterms:created>
  <dcterms:modified xsi:type="dcterms:W3CDTF">2024-10-25T13:50:00Z</dcterms:modified>
</cp:coreProperties>
</file>