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ED2" w:rsidRDefault="007C45D6" w:rsidP="007C45D6">
      <w:pPr>
        <w:bidi/>
        <w:jc w:val="center"/>
        <w:rPr>
          <w:rFonts w:ascii="Simplified Arabic" w:hAnsi="Simplified Arabic" w:cs="Simplified Arabic" w:hint="cs"/>
          <w:b/>
          <w:bCs/>
          <w:sz w:val="32"/>
          <w:szCs w:val="32"/>
          <w:rtl/>
          <w:lang w:bidi="ar-DZ"/>
        </w:rPr>
      </w:pPr>
      <w:r w:rsidRPr="007C45D6">
        <w:rPr>
          <w:rFonts w:ascii="Simplified Arabic" w:hAnsi="Simplified Arabic" w:cs="Simplified Arabic"/>
          <w:b/>
          <w:bCs/>
          <w:sz w:val="32"/>
          <w:szCs w:val="32"/>
          <w:rtl/>
          <w:lang w:bidi="ar-DZ"/>
        </w:rPr>
        <w:t>موقف فرنسا والوحدة العربية</w:t>
      </w:r>
    </w:p>
    <w:p w:rsidR="007C45D6" w:rsidRPr="007C45D6" w:rsidRDefault="00017163" w:rsidP="00017163">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فرنسا دخلت المنطقة العربية من أجل مصالحها الاقتصادية المتمثلة في نهب الخيرات من أجل رفع اقتصادها وكذا من أجل توسعاتها وقوة إمبراطوريتها، ولهذا أي وحدة عربية تهدد هذه المصالح، فعملت كل ما في وسعها لمنعها وكانت تظهر هذا الموقف العدائي علانية وتتحرك سياسيا مباشرا أو غير مباشر وخلق الفتن بيد الأقطار العربية للحيلولة دون وصول الشعوب العربية مشرقا ومغربا إلى وحدتها.</w:t>
      </w:r>
    </w:p>
    <w:sectPr w:rsidR="007C45D6" w:rsidRPr="007C45D6" w:rsidSect="00EF49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7C45D6"/>
    <w:rsid w:val="00017163"/>
    <w:rsid w:val="00022ED2"/>
    <w:rsid w:val="00183311"/>
    <w:rsid w:val="007C45D6"/>
    <w:rsid w:val="00EB2A79"/>
    <w:rsid w:val="00EF497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97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60</Words>
  <Characters>330</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2</cp:revision>
  <dcterms:created xsi:type="dcterms:W3CDTF">2025-04-30T15:16:00Z</dcterms:created>
  <dcterms:modified xsi:type="dcterms:W3CDTF">2025-04-30T15:34:00Z</dcterms:modified>
</cp:coreProperties>
</file>