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4F0" w:rsidRPr="00FA34F0" w:rsidRDefault="00FA34F0" w:rsidP="00FA34F0">
      <w:pPr>
        <w:jc w:val="center"/>
        <w:rPr>
          <w:b/>
          <w:bCs/>
          <w:sz w:val="28"/>
          <w:szCs w:val="28"/>
          <w:lang w:val="en-GB"/>
        </w:rPr>
      </w:pPr>
      <w:r w:rsidRPr="00FA34F0">
        <w:rPr>
          <w:b/>
          <w:bCs/>
          <w:sz w:val="28"/>
          <w:szCs w:val="28"/>
          <w:lang w:val="en-GB"/>
        </w:rPr>
        <w:t xml:space="preserve">Practical work in Animal </w:t>
      </w:r>
      <w:proofErr w:type="gramStart"/>
      <w:r w:rsidRPr="00FA34F0">
        <w:rPr>
          <w:b/>
          <w:bCs/>
          <w:sz w:val="28"/>
          <w:szCs w:val="28"/>
          <w:lang w:val="en-GB"/>
        </w:rPr>
        <w:t xml:space="preserve">Biology </w:t>
      </w:r>
      <w:r w:rsidRPr="00FA34F0">
        <w:rPr>
          <w:b/>
          <w:bCs/>
          <w:sz w:val="28"/>
          <w:szCs w:val="28"/>
          <w:lang w:val="en-GB"/>
        </w:rPr>
        <w:t>.</w:t>
      </w:r>
      <w:proofErr w:type="gramEnd"/>
      <w:r w:rsidRPr="00FA34F0">
        <w:rPr>
          <w:b/>
          <w:bCs/>
          <w:sz w:val="28"/>
          <w:szCs w:val="28"/>
          <w:lang w:val="en-GB"/>
        </w:rPr>
        <w:t xml:space="preserve"> </w:t>
      </w:r>
      <w:proofErr w:type="spellStart"/>
      <w:r w:rsidRPr="00FA34F0">
        <w:rPr>
          <w:b/>
          <w:bCs/>
          <w:sz w:val="28"/>
          <w:szCs w:val="28"/>
          <w:lang w:val="en-GB"/>
        </w:rPr>
        <w:t>Folliculogenesis</w:t>
      </w:r>
      <w:proofErr w:type="spellEnd"/>
    </w:p>
    <w:p w:rsidR="00FA34F0" w:rsidRDefault="00FA34F0" w:rsidP="00FA34F0">
      <w:pPr>
        <w:rPr>
          <w:lang w:val="en-GB"/>
        </w:rPr>
      </w:pPr>
    </w:p>
    <w:p w:rsidR="00FA34F0" w:rsidRPr="00FA34F0" w:rsidRDefault="00FA34F0" w:rsidP="00FA34F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GB"/>
        </w:rPr>
      </w:pPr>
      <w:r w:rsidRPr="00FA34F0">
        <w:rPr>
          <w:rFonts w:asciiTheme="majorBidi" w:hAnsiTheme="majorBidi" w:cstheme="majorBidi"/>
          <w:b/>
          <w:bCs/>
          <w:sz w:val="24"/>
          <w:szCs w:val="24"/>
          <w:lang w:val="en-GB"/>
        </w:rPr>
        <w:t>Introduction</w:t>
      </w:r>
    </w:p>
    <w:p w:rsidR="00FA34F0" w:rsidRPr="00FA34F0" w:rsidRDefault="00FA34F0" w:rsidP="00FA34F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proofErr w:type="spellStart"/>
      <w:r w:rsidRPr="00FA34F0">
        <w:rPr>
          <w:rFonts w:asciiTheme="majorBidi" w:hAnsiTheme="majorBidi" w:cstheme="majorBidi"/>
          <w:sz w:val="24"/>
          <w:szCs w:val="24"/>
          <w:lang w:val="en-GB"/>
        </w:rPr>
        <w:t>Folliculogenesis</w:t>
      </w:r>
      <w:proofErr w:type="spellEnd"/>
      <w:r w:rsidRPr="00FA34F0">
        <w:rPr>
          <w:rFonts w:asciiTheme="majorBidi" w:hAnsiTheme="majorBidi" w:cstheme="majorBidi"/>
          <w:sz w:val="24"/>
          <w:szCs w:val="24"/>
          <w:lang w:val="en-GB"/>
        </w:rPr>
        <w:t xml:space="preserve"> begins in the 7th month of pregnancy with the formation of primordial follicles. At birth, there are an average of 1 million primordial follicles per ovary. From birth to puberty, </w:t>
      </w:r>
      <w:proofErr w:type="spellStart"/>
      <w:r w:rsidRPr="00FA34F0">
        <w:rPr>
          <w:rFonts w:asciiTheme="majorBidi" w:hAnsiTheme="majorBidi" w:cstheme="majorBidi"/>
          <w:sz w:val="24"/>
          <w:szCs w:val="24"/>
          <w:lang w:val="en-GB"/>
        </w:rPr>
        <w:t>folliculogenesis</w:t>
      </w:r>
      <w:proofErr w:type="spellEnd"/>
      <w:r w:rsidRPr="00FA34F0">
        <w:rPr>
          <w:rFonts w:asciiTheme="majorBidi" w:hAnsiTheme="majorBidi" w:cstheme="majorBidi"/>
          <w:sz w:val="24"/>
          <w:szCs w:val="24"/>
          <w:lang w:val="en-GB"/>
        </w:rPr>
        <w:t xml:space="preserve"> is blocked, causing 60% of the initial stock of primordial follicles to degenerate. At puberty their number drops to 400,000 per ovary. From puberty to the menopause, once a month around twenty primordial follicles continue </w:t>
      </w:r>
      <w:proofErr w:type="spellStart"/>
      <w:r w:rsidRPr="00FA34F0">
        <w:rPr>
          <w:rFonts w:asciiTheme="majorBidi" w:hAnsiTheme="majorBidi" w:cstheme="majorBidi"/>
          <w:sz w:val="24"/>
          <w:szCs w:val="24"/>
          <w:lang w:val="en-GB"/>
        </w:rPr>
        <w:t>folliculogenesis</w:t>
      </w:r>
      <w:proofErr w:type="spellEnd"/>
      <w:r w:rsidRPr="00FA34F0">
        <w:rPr>
          <w:rFonts w:asciiTheme="majorBidi" w:hAnsiTheme="majorBidi" w:cstheme="majorBidi"/>
          <w:sz w:val="24"/>
          <w:szCs w:val="24"/>
          <w:lang w:val="en-GB"/>
        </w:rPr>
        <w:t>. Usually, only one follicle reaches term and the others degenerate.</w:t>
      </w:r>
    </w:p>
    <w:p w:rsidR="00FA34F0" w:rsidRPr="00FA34F0" w:rsidRDefault="00FA34F0" w:rsidP="00FA34F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FA34F0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Goals</w:t>
      </w:r>
    </w:p>
    <w:p w:rsidR="00FA34F0" w:rsidRPr="00FA34F0" w:rsidRDefault="00FA34F0" w:rsidP="00FA34F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A34F0">
        <w:rPr>
          <w:rFonts w:asciiTheme="majorBidi" w:hAnsiTheme="majorBidi" w:cstheme="majorBidi"/>
          <w:sz w:val="24"/>
          <w:szCs w:val="24"/>
          <w:lang w:val="en-GB"/>
        </w:rPr>
        <w:t xml:space="preserve">At the end of the session, the student will be able to identify the different evolutionary stages of follicles in a mammalian ovary. The student will also be able to recognise the cells of (the granulosa, the external and internal theca, the antrum, the corona radiata, the cumulus </w:t>
      </w:r>
      <w:proofErr w:type="spellStart"/>
      <w:r w:rsidRPr="00FA34F0">
        <w:rPr>
          <w:rFonts w:asciiTheme="majorBidi" w:hAnsiTheme="majorBidi" w:cstheme="majorBidi"/>
          <w:sz w:val="24"/>
          <w:szCs w:val="24"/>
          <w:lang w:val="en-GB"/>
        </w:rPr>
        <w:t>oophorus</w:t>
      </w:r>
      <w:proofErr w:type="spellEnd"/>
      <w:r w:rsidRPr="00FA34F0">
        <w:rPr>
          <w:rFonts w:asciiTheme="majorBidi" w:hAnsiTheme="majorBidi" w:cstheme="majorBidi"/>
          <w:sz w:val="24"/>
          <w:szCs w:val="24"/>
          <w:lang w:val="en-GB"/>
        </w:rPr>
        <w:t>, the oocyte).</w:t>
      </w:r>
    </w:p>
    <w:p w:rsidR="00FA34F0" w:rsidRPr="00FA34F0" w:rsidRDefault="00FA34F0" w:rsidP="00FA34F0">
      <w:p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</w:pPr>
      <w:r w:rsidRPr="00FA34F0">
        <w:rPr>
          <w:rFonts w:asciiTheme="majorBidi" w:hAnsiTheme="majorBidi" w:cstheme="majorBidi"/>
          <w:b/>
          <w:bCs/>
          <w:sz w:val="24"/>
          <w:szCs w:val="24"/>
          <w:u w:val="single"/>
          <w:lang w:val="en-GB"/>
        </w:rPr>
        <w:t>Work to be carried out</w:t>
      </w:r>
    </w:p>
    <w:p w:rsidR="00FA34F0" w:rsidRPr="00FA34F0" w:rsidRDefault="00FA34F0" w:rsidP="00FA34F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A34F0">
        <w:rPr>
          <w:rFonts w:asciiTheme="majorBidi" w:hAnsiTheme="majorBidi" w:cstheme="majorBidi"/>
          <w:sz w:val="24"/>
          <w:szCs w:val="24"/>
          <w:lang w:val="en-GB"/>
        </w:rPr>
        <w:t>Microscopic observations of histological sections of the ovary.</w:t>
      </w:r>
    </w:p>
    <w:p w:rsidR="00FA34F0" w:rsidRPr="00FA34F0" w:rsidRDefault="00FA34F0" w:rsidP="00FA34F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A34F0">
        <w:rPr>
          <w:rFonts w:asciiTheme="majorBidi" w:hAnsiTheme="majorBidi" w:cstheme="majorBidi"/>
          <w:sz w:val="24"/>
          <w:szCs w:val="24"/>
          <w:lang w:val="en-GB"/>
        </w:rPr>
        <w:t>The students must identify, draw and label the follicles at different stages of development. There will be a total of 5 drawings:</w:t>
      </w:r>
    </w:p>
    <w:p w:rsidR="00FA34F0" w:rsidRPr="00FA34F0" w:rsidRDefault="00FA34F0" w:rsidP="00FA34F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A34F0">
        <w:rPr>
          <w:rFonts w:asciiTheme="majorBidi" w:hAnsiTheme="majorBidi" w:cstheme="majorBidi"/>
          <w:sz w:val="24"/>
          <w:szCs w:val="24"/>
          <w:lang w:val="en-GB"/>
        </w:rPr>
        <w:t>-Drawing of primordial follicle</w:t>
      </w:r>
    </w:p>
    <w:p w:rsidR="00FA34F0" w:rsidRPr="00FA34F0" w:rsidRDefault="00FA34F0" w:rsidP="00FA34F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A34F0">
        <w:rPr>
          <w:rFonts w:asciiTheme="majorBidi" w:hAnsiTheme="majorBidi" w:cstheme="majorBidi"/>
          <w:sz w:val="24"/>
          <w:szCs w:val="24"/>
          <w:lang w:val="en-GB"/>
        </w:rPr>
        <w:t>-Drawing of primary follicle</w:t>
      </w:r>
    </w:p>
    <w:p w:rsidR="00FA34F0" w:rsidRPr="00FA34F0" w:rsidRDefault="00FA34F0" w:rsidP="00FA34F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 w:rsidRPr="00FA34F0">
        <w:rPr>
          <w:rFonts w:asciiTheme="majorBidi" w:hAnsiTheme="majorBidi" w:cstheme="majorBidi"/>
          <w:sz w:val="24"/>
          <w:szCs w:val="24"/>
          <w:lang w:val="en-GB"/>
        </w:rPr>
        <w:t>-Drawing of secondary follicle</w:t>
      </w:r>
      <w:bookmarkStart w:id="0" w:name="_GoBack"/>
      <w:bookmarkEnd w:id="0"/>
    </w:p>
    <w:p w:rsidR="0019664A" w:rsidRDefault="00FA34F0" w:rsidP="00FA34F0">
      <w:pPr>
        <w:spacing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FA34F0">
        <w:rPr>
          <w:rFonts w:asciiTheme="majorBidi" w:hAnsiTheme="majorBidi" w:cstheme="majorBidi"/>
          <w:sz w:val="24"/>
          <w:szCs w:val="24"/>
        </w:rPr>
        <w:t>-</w:t>
      </w:r>
      <w:proofErr w:type="spellStart"/>
      <w:r w:rsidRPr="00FA34F0">
        <w:rPr>
          <w:rFonts w:asciiTheme="majorBidi" w:hAnsiTheme="majorBidi" w:cstheme="majorBidi"/>
          <w:sz w:val="24"/>
          <w:szCs w:val="24"/>
        </w:rPr>
        <w:t>Drawing</w:t>
      </w:r>
      <w:proofErr w:type="spellEnd"/>
      <w:r w:rsidRPr="00FA34F0">
        <w:rPr>
          <w:rFonts w:asciiTheme="majorBidi" w:hAnsiTheme="majorBidi" w:cstheme="majorBidi"/>
          <w:sz w:val="24"/>
          <w:szCs w:val="24"/>
        </w:rPr>
        <w:t xml:space="preserve"> of </w:t>
      </w:r>
      <w:proofErr w:type="spellStart"/>
      <w:r w:rsidRPr="00FA34F0">
        <w:rPr>
          <w:rFonts w:asciiTheme="majorBidi" w:hAnsiTheme="majorBidi" w:cstheme="majorBidi"/>
          <w:sz w:val="24"/>
          <w:szCs w:val="24"/>
        </w:rPr>
        <w:t>tertiary</w:t>
      </w:r>
      <w:proofErr w:type="spellEnd"/>
      <w:r w:rsidRPr="00FA34F0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FA34F0">
        <w:rPr>
          <w:rFonts w:asciiTheme="majorBidi" w:hAnsiTheme="majorBidi" w:cstheme="majorBidi"/>
          <w:sz w:val="24"/>
          <w:szCs w:val="24"/>
        </w:rPr>
        <w:t>follicle</w:t>
      </w:r>
      <w:proofErr w:type="spellEnd"/>
    </w:p>
    <w:p w:rsidR="00FA34F0" w:rsidRPr="00FA34F0" w:rsidRDefault="00FA34F0" w:rsidP="00FA34F0">
      <w:pPr>
        <w:spacing w:line="360" w:lineRule="auto"/>
        <w:jc w:val="both"/>
        <w:rPr>
          <w:rFonts w:asciiTheme="majorBidi" w:hAnsiTheme="majorBidi" w:cstheme="majorBidi"/>
          <w:sz w:val="24"/>
          <w:szCs w:val="24"/>
          <w:lang w:val="en-GB"/>
        </w:rPr>
      </w:pPr>
      <w:r>
        <w:rPr>
          <w:rFonts w:asciiTheme="majorBidi" w:hAnsiTheme="majorBidi" w:cstheme="majorBidi"/>
          <w:sz w:val="24"/>
          <w:szCs w:val="24"/>
          <w:lang w:val="en-GB"/>
        </w:rPr>
        <w:t>-</w:t>
      </w:r>
      <w:r w:rsidRPr="00FA34F0">
        <w:rPr>
          <w:rFonts w:asciiTheme="majorBidi" w:hAnsiTheme="majorBidi" w:cstheme="majorBidi"/>
          <w:sz w:val="24"/>
          <w:szCs w:val="24"/>
          <w:lang w:val="en-GB"/>
        </w:rPr>
        <w:t xml:space="preserve">Drawing of De Graaf follicle with cumulus </w:t>
      </w:r>
      <w:proofErr w:type="spellStart"/>
      <w:r w:rsidRPr="00FA34F0">
        <w:rPr>
          <w:rFonts w:asciiTheme="majorBidi" w:hAnsiTheme="majorBidi" w:cstheme="majorBidi"/>
          <w:sz w:val="24"/>
          <w:szCs w:val="24"/>
          <w:lang w:val="en-GB"/>
        </w:rPr>
        <w:t>oophorus</w:t>
      </w:r>
      <w:proofErr w:type="spellEnd"/>
      <w:r w:rsidRPr="00FA34F0">
        <w:rPr>
          <w:rFonts w:asciiTheme="majorBidi" w:hAnsiTheme="majorBidi" w:cstheme="majorBidi"/>
          <w:sz w:val="24"/>
          <w:szCs w:val="24"/>
          <w:lang w:val="en-GB"/>
        </w:rPr>
        <w:t xml:space="preserve"> and oocyte</w:t>
      </w:r>
    </w:p>
    <w:sectPr w:rsidR="00FA34F0" w:rsidRPr="00FA34F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2A5E" w:rsidRDefault="00D82A5E" w:rsidP="00FA34F0">
      <w:pPr>
        <w:spacing w:after="0" w:line="240" w:lineRule="auto"/>
      </w:pPr>
      <w:r>
        <w:separator/>
      </w:r>
    </w:p>
  </w:endnote>
  <w:endnote w:type="continuationSeparator" w:id="0">
    <w:p w:rsidR="00D82A5E" w:rsidRDefault="00D82A5E" w:rsidP="00FA34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2A5E" w:rsidRDefault="00D82A5E" w:rsidP="00FA34F0">
      <w:pPr>
        <w:spacing w:after="0" w:line="240" w:lineRule="auto"/>
      </w:pPr>
      <w:r>
        <w:separator/>
      </w:r>
    </w:p>
  </w:footnote>
  <w:footnote w:type="continuationSeparator" w:id="0">
    <w:p w:rsidR="00D82A5E" w:rsidRDefault="00D82A5E" w:rsidP="00FA34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4F0" w:rsidRPr="00FA34F0" w:rsidRDefault="00FA34F0" w:rsidP="00FA34F0">
    <w:pPr>
      <w:jc w:val="center"/>
      <w:rPr>
        <w:b/>
        <w:bCs/>
        <w:sz w:val="24"/>
        <w:szCs w:val="24"/>
        <w:lang w:val="en-GB"/>
      </w:rPr>
    </w:pPr>
    <w:r w:rsidRPr="00FA34F0">
      <w:rPr>
        <w:b/>
        <w:bCs/>
        <w:sz w:val="24"/>
        <w:szCs w:val="24"/>
        <w:lang w:val="en-GB"/>
      </w:rPr>
      <w:t xml:space="preserve">Med </w:t>
    </w:r>
    <w:proofErr w:type="spellStart"/>
    <w:r w:rsidRPr="00FA34F0">
      <w:rPr>
        <w:b/>
        <w:bCs/>
        <w:sz w:val="24"/>
        <w:szCs w:val="24"/>
        <w:lang w:val="en-GB"/>
      </w:rPr>
      <w:t>Khider</w:t>
    </w:r>
    <w:proofErr w:type="spellEnd"/>
    <w:r w:rsidRPr="00FA34F0">
      <w:rPr>
        <w:b/>
        <w:bCs/>
        <w:sz w:val="24"/>
        <w:szCs w:val="24"/>
        <w:lang w:val="en-GB"/>
      </w:rPr>
      <w:t xml:space="preserve"> University</w:t>
    </w:r>
  </w:p>
  <w:p w:rsidR="00FA34F0" w:rsidRPr="00FA34F0" w:rsidRDefault="00FA34F0" w:rsidP="00FA34F0">
    <w:pPr>
      <w:jc w:val="center"/>
      <w:rPr>
        <w:b/>
        <w:bCs/>
        <w:sz w:val="24"/>
        <w:szCs w:val="24"/>
        <w:lang w:val="en-GB"/>
      </w:rPr>
    </w:pPr>
    <w:r w:rsidRPr="00FA34F0">
      <w:rPr>
        <w:b/>
        <w:bCs/>
        <w:sz w:val="24"/>
        <w:szCs w:val="24"/>
        <w:lang w:val="en-GB"/>
      </w:rPr>
      <w:t>Department of Natural and Life Sciences</w:t>
    </w:r>
  </w:p>
  <w:p w:rsidR="00FA34F0" w:rsidRPr="00FA34F0" w:rsidRDefault="00FA34F0">
    <w:pPr>
      <w:pStyle w:val="Header"/>
      <w:rPr>
        <w:lang w:val="en-GB"/>
      </w:rPr>
    </w:pPr>
  </w:p>
  <w:p w:rsidR="00FA34F0" w:rsidRPr="00FA34F0" w:rsidRDefault="00FA34F0">
    <w:pPr>
      <w:pStyle w:val="Header"/>
      <w:rPr>
        <w:lang w:val="en-GB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4F0"/>
    <w:rsid w:val="001320FE"/>
    <w:rsid w:val="00AD6737"/>
    <w:rsid w:val="00D82A5E"/>
    <w:rsid w:val="00FA3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CF11D2"/>
  <w15:chartTrackingRefBased/>
  <w15:docId w15:val="{6641D07F-C093-4297-8198-38793A2F1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34F0"/>
  </w:style>
  <w:style w:type="paragraph" w:styleId="Footer">
    <w:name w:val="footer"/>
    <w:basedOn w:val="Normal"/>
    <w:link w:val="FooterChar"/>
    <w:uiPriority w:val="99"/>
    <w:unhideWhenUsed/>
    <w:rsid w:val="00FA34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3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horizon pc</dc:creator>
  <cp:keywords/>
  <dc:description/>
  <cp:lastModifiedBy>horizon pc</cp:lastModifiedBy>
  <cp:revision>1</cp:revision>
  <dcterms:created xsi:type="dcterms:W3CDTF">2025-04-04T21:33:00Z</dcterms:created>
  <dcterms:modified xsi:type="dcterms:W3CDTF">2025-04-04T21:41:00Z</dcterms:modified>
</cp:coreProperties>
</file>