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1EE" w:rsidRDefault="00AA5B73">
      <w:pPr>
        <w:pStyle w:val="Titre1"/>
      </w:pPr>
      <w:bookmarkStart w:id="0" w:name="Xee935570141d9905b0f068b62b6480a273da19d"/>
      <w:bookmarkStart w:id="1" w:name="_GoBack"/>
      <w:r>
        <w:t>Growth of Seedlings in Different Nutrient Solutions</w:t>
      </w:r>
    </w:p>
    <w:bookmarkEnd w:id="1"/>
    <w:p w:rsidR="009E21EE" w:rsidRDefault="00AA5B73">
      <w:r>
        <w:pict>
          <v:rect id="_x0000_i1025" style="width:0;height:1.5pt" o:hralign="center" o:hrstd="t" o:hr="t"/>
        </w:pict>
      </w:r>
    </w:p>
    <w:p w:rsidR="009E21EE" w:rsidRDefault="00AA5B73">
      <w:pPr>
        <w:pStyle w:val="Titre2"/>
      </w:pPr>
      <w:bookmarkStart w:id="2" w:name="objective"/>
      <w:r>
        <w:t>1. Objective</w:t>
      </w:r>
    </w:p>
    <w:p w:rsidR="009E21EE" w:rsidRDefault="00AA5B73">
      <w:pPr>
        <w:pStyle w:val="FirstParagraph"/>
      </w:pPr>
      <w:r>
        <w:t>This practical work aims to:</w:t>
      </w:r>
    </w:p>
    <w:p w:rsidR="009E21EE" w:rsidRDefault="00AA5B73">
      <w:pPr>
        <w:pStyle w:val="Compact"/>
        <w:numPr>
          <w:ilvl w:val="0"/>
          <w:numId w:val="2"/>
        </w:numPr>
      </w:pPr>
      <w:r>
        <w:t>Study the effect of mineral nutrition on plant growth.</w:t>
      </w:r>
    </w:p>
    <w:p w:rsidR="009E21EE" w:rsidRDefault="00AA5B73">
      <w:pPr>
        <w:pStyle w:val="Compact"/>
        <w:numPr>
          <w:ilvl w:val="0"/>
          <w:numId w:val="2"/>
        </w:numPr>
      </w:pPr>
      <w:r>
        <w:t>Compare the growth of seedlings cultivated in different nutrient solutions.</w:t>
      </w:r>
    </w:p>
    <w:p w:rsidR="009E21EE" w:rsidRDefault="00AA5B73">
      <w:pPr>
        <w:pStyle w:val="Compact"/>
        <w:numPr>
          <w:ilvl w:val="0"/>
          <w:numId w:val="2"/>
        </w:numPr>
      </w:pPr>
      <w:r>
        <w:t>Identify symptoms associated with mineral deficiencies.</w:t>
      </w:r>
    </w:p>
    <w:p w:rsidR="009E21EE" w:rsidRDefault="00AA5B73">
      <w:pPr>
        <w:pStyle w:val="Compact"/>
        <w:numPr>
          <w:ilvl w:val="0"/>
          <w:numId w:val="2"/>
        </w:numPr>
      </w:pPr>
      <w:r>
        <w:t>Understand the role of essential mineral elements in plant development.</w:t>
      </w:r>
    </w:p>
    <w:p w:rsidR="009E21EE" w:rsidRDefault="00AA5B73">
      <w:pPr>
        <w:pStyle w:val="Compact"/>
        <w:numPr>
          <w:ilvl w:val="0"/>
          <w:numId w:val="2"/>
        </w:numPr>
      </w:pPr>
      <w:r>
        <w:t>Evaluate the relationship between nutrient availability and plant growth.</w:t>
      </w:r>
    </w:p>
    <w:p w:rsidR="009E21EE" w:rsidRDefault="00AA5B73">
      <w:r>
        <w:pict>
          <v:rect id="_x0000_i1026" style="width:0;height:1.5pt" o:hralign="center" o:hrstd="t" o:hr="t"/>
        </w:pict>
      </w:r>
    </w:p>
    <w:p w:rsidR="009E21EE" w:rsidRDefault="00AA5B73">
      <w:pPr>
        <w:pStyle w:val="Titre2"/>
      </w:pPr>
      <w:bookmarkStart w:id="3" w:name="principle"/>
      <w:bookmarkEnd w:id="2"/>
      <w:r>
        <w:t>2. Principle</w:t>
      </w:r>
    </w:p>
    <w:p w:rsidR="009E21EE" w:rsidRDefault="00AA5B73">
      <w:pPr>
        <w:pStyle w:val="FirstParagraph"/>
      </w:pPr>
      <w:r>
        <w:t>Plants require water, light, carbon dio</w:t>
      </w:r>
      <w:r>
        <w:t>xide, and mineral nutrients for normal growth and development. Mineral elements are absorbed by roots and are involved in numerous physiological processes such as photosynthesis, protein synthesis, energy transfer, and water regulation.</w:t>
      </w:r>
    </w:p>
    <w:p w:rsidR="009E21EE" w:rsidRDefault="00AA5B73">
      <w:pPr>
        <w:pStyle w:val="Corpsdetexte"/>
      </w:pPr>
      <w:r>
        <w:t>A deficiency in one</w:t>
      </w:r>
      <w:r>
        <w:t xml:space="preserve"> or more essential nutrients results in characteristic symptoms and reduced growth. By growing seedlings in nutrient solutions lacking specific mineral elements, the role of each nutrient can be demonstrated.</w:t>
      </w:r>
    </w:p>
    <w:p w:rsidR="009E21EE" w:rsidRDefault="00AA5B73">
      <w:r>
        <w:pict>
          <v:rect id="_x0000_i1027" style="width:0;height:1.5pt" o:hralign="center" o:hrstd="t" o:hr="t"/>
        </w:pict>
      </w:r>
    </w:p>
    <w:p w:rsidR="009E21EE" w:rsidRDefault="00AA5B73">
      <w:pPr>
        <w:pStyle w:val="Titre2"/>
      </w:pPr>
      <w:bookmarkStart w:id="4" w:name="materials"/>
      <w:bookmarkEnd w:id="3"/>
      <w:r>
        <w:t>3. Materials</w:t>
      </w:r>
    </w:p>
    <w:p w:rsidR="009E21EE" w:rsidRDefault="00AA5B73">
      <w:pPr>
        <w:pStyle w:val="Titre3"/>
      </w:pPr>
      <w:bookmarkStart w:id="5" w:name="biological-material"/>
      <w:r>
        <w:t>Biological Material</w:t>
      </w:r>
    </w:p>
    <w:p w:rsidR="009E21EE" w:rsidRDefault="00AA5B73">
      <w:pPr>
        <w:pStyle w:val="Compact"/>
        <w:numPr>
          <w:ilvl w:val="0"/>
          <w:numId w:val="3"/>
        </w:numPr>
      </w:pPr>
      <w:r>
        <w:t>Germinated s</w:t>
      </w:r>
      <w:r>
        <w:t>eedlings (broad bean, bean, maize, or wheat)</w:t>
      </w:r>
    </w:p>
    <w:p w:rsidR="009E21EE" w:rsidRDefault="00AA5B73">
      <w:pPr>
        <w:pStyle w:val="Titre3"/>
      </w:pPr>
      <w:bookmarkStart w:id="6" w:name="equipment"/>
      <w:bookmarkEnd w:id="5"/>
      <w:r>
        <w:t>Equipment</w:t>
      </w:r>
    </w:p>
    <w:p w:rsidR="009E21EE" w:rsidRDefault="00AA5B73">
      <w:pPr>
        <w:pStyle w:val="Compact"/>
        <w:numPr>
          <w:ilvl w:val="0"/>
          <w:numId w:val="4"/>
        </w:numPr>
      </w:pPr>
      <w:r>
        <w:t>Plastic pots or beakers</w:t>
      </w:r>
    </w:p>
    <w:p w:rsidR="009E21EE" w:rsidRDefault="00AA5B73">
      <w:pPr>
        <w:pStyle w:val="Compact"/>
        <w:numPr>
          <w:ilvl w:val="0"/>
          <w:numId w:val="4"/>
        </w:numPr>
      </w:pPr>
      <w:r>
        <w:t>Graduated ruler</w:t>
      </w:r>
    </w:p>
    <w:p w:rsidR="009E21EE" w:rsidRDefault="00AA5B73">
      <w:pPr>
        <w:pStyle w:val="Compact"/>
        <w:numPr>
          <w:ilvl w:val="0"/>
          <w:numId w:val="4"/>
        </w:numPr>
      </w:pPr>
      <w:r>
        <w:t>Labels and marker</w:t>
      </w:r>
    </w:p>
    <w:p w:rsidR="009E21EE" w:rsidRDefault="00AA5B73">
      <w:pPr>
        <w:pStyle w:val="Compact"/>
        <w:numPr>
          <w:ilvl w:val="0"/>
          <w:numId w:val="4"/>
        </w:numPr>
      </w:pPr>
      <w:r>
        <w:t>Measuring cylinder</w:t>
      </w:r>
    </w:p>
    <w:p w:rsidR="009E21EE" w:rsidRDefault="00AA5B73">
      <w:pPr>
        <w:pStyle w:val="Compact"/>
        <w:numPr>
          <w:ilvl w:val="0"/>
          <w:numId w:val="4"/>
        </w:numPr>
      </w:pPr>
      <w:r>
        <w:t>Analytical balance (optional)</w:t>
      </w:r>
    </w:p>
    <w:p w:rsidR="009E21EE" w:rsidRDefault="00AA5B73">
      <w:pPr>
        <w:pStyle w:val="Titre3"/>
      </w:pPr>
      <w:bookmarkStart w:id="7" w:name="reagents"/>
      <w:bookmarkEnd w:id="6"/>
      <w:r>
        <w:t>Reagents</w:t>
      </w:r>
    </w:p>
    <w:p w:rsidR="009E21EE" w:rsidRDefault="00AA5B73">
      <w:pPr>
        <w:pStyle w:val="Compact"/>
        <w:numPr>
          <w:ilvl w:val="0"/>
          <w:numId w:val="5"/>
        </w:numPr>
      </w:pPr>
      <w:r>
        <w:t>Distilled water</w:t>
      </w:r>
    </w:p>
    <w:p w:rsidR="009E21EE" w:rsidRDefault="00AA5B73">
      <w:pPr>
        <w:pStyle w:val="Compact"/>
        <w:numPr>
          <w:ilvl w:val="0"/>
          <w:numId w:val="5"/>
        </w:numPr>
      </w:pPr>
      <w:r>
        <w:t>Complete nutrient solution (Hoagland solution)</w:t>
      </w:r>
    </w:p>
    <w:p w:rsidR="009E21EE" w:rsidRDefault="00AA5B73">
      <w:pPr>
        <w:pStyle w:val="Compact"/>
        <w:numPr>
          <w:ilvl w:val="0"/>
          <w:numId w:val="5"/>
        </w:numPr>
      </w:pPr>
      <w:r>
        <w:t>Nitrogen-deficient solution (–N)</w:t>
      </w:r>
    </w:p>
    <w:p w:rsidR="009E21EE" w:rsidRDefault="00AA5B73">
      <w:pPr>
        <w:pStyle w:val="Compact"/>
        <w:numPr>
          <w:ilvl w:val="0"/>
          <w:numId w:val="5"/>
        </w:numPr>
      </w:pPr>
      <w:r>
        <w:lastRenderedPageBreak/>
        <w:t>Phosphorus-deficient solution (–P)</w:t>
      </w:r>
    </w:p>
    <w:p w:rsidR="009E21EE" w:rsidRDefault="00AA5B73">
      <w:pPr>
        <w:pStyle w:val="Compact"/>
        <w:numPr>
          <w:ilvl w:val="0"/>
          <w:numId w:val="5"/>
        </w:numPr>
      </w:pPr>
      <w:r>
        <w:t>Potassium-deficient solution (–K)</w:t>
      </w:r>
    </w:p>
    <w:p w:rsidR="009E21EE" w:rsidRDefault="00AA5B73">
      <w:r>
        <w:pict>
          <v:rect id="_x0000_i1028" style="width:0;height:1.5pt" o:hralign="center" o:hrstd="t" o:hr="t"/>
        </w:pict>
      </w:r>
    </w:p>
    <w:p w:rsidR="009E21EE" w:rsidRDefault="00AA5B73">
      <w:pPr>
        <w:pStyle w:val="Titre2"/>
      </w:pPr>
      <w:bookmarkStart w:id="8" w:name="experimental-procedure"/>
      <w:bookmarkEnd w:id="4"/>
      <w:bookmarkEnd w:id="7"/>
      <w:r>
        <w:t>4. Experimental Procedure</w:t>
      </w:r>
    </w:p>
    <w:p w:rsidR="009E21EE" w:rsidRDefault="00AA5B73">
      <w:pPr>
        <w:pStyle w:val="Titre3"/>
      </w:pPr>
      <w:bookmarkStart w:id="9" w:name="preparation-of-seedlings"/>
      <w:r>
        <w:t>4.1 Preparation of Seedlings</w:t>
      </w:r>
    </w:p>
    <w:p w:rsidR="009E21EE" w:rsidRDefault="00AA5B73">
      <w:pPr>
        <w:pStyle w:val="Compact"/>
        <w:numPr>
          <w:ilvl w:val="0"/>
          <w:numId w:val="6"/>
        </w:numPr>
      </w:pPr>
      <w:r>
        <w:t>Germinate seeds for 4–5 days.</w:t>
      </w:r>
    </w:p>
    <w:p w:rsidR="009E21EE" w:rsidRDefault="00AA5B73">
      <w:pPr>
        <w:pStyle w:val="Compact"/>
        <w:numPr>
          <w:ilvl w:val="0"/>
          <w:numId w:val="6"/>
        </w:numPr>
      </w:pPr>
      <w:r>
        <w:t>Select healthy seedlings of similar size.</w:t>
      </w:r>
    </w:p>
    <w:p w:rsidR="009E21EE" w:rsidRDefault="00AA5B73">
      <w:pPr>
        <w:pStyle w:val="Compact"/>
        <w:numPr>
          <w:ilvl w:val="0"/>
          <w:numId w:val="6"/>
        </w:numPr>
      </w:pPr>
      <w:r>
        <w:t>Divide the seedlings into</w:t>
      </w:r>
      <w:r>
        <w:t xml:space="preserve"> four groups.</w:t>
      </w:r>
    </w:p>
    <w:p w:rsidR="009E21EE" w:rsidRDefault="00AA5B73">
      <w:pPr>
        <w:pStyle w:val="Titre3"/>
      </w:pPr>
      <w:bookmarkStart w:id="10" w:name="experimental-treatments"/>
      <w:bookmarkEnd w:id="9"/>
      <w:r>
        <w:t>4.2 Experimental Treatments</w:t>
      </w:r>
    </w:p>
    <w:tbl>
      <w:tblPr>
        <w:tblStyle w:val="Table"/>
        <w:tblW w:w="0" w:type="auto"/>
        <w:tblLook w:val="0020" w:firstRow="1" w:lastRow="0" w:firstColumn="0" w:lastColumn="0" w:noHBand="0" w:noVBand="0"/>
      </w:tblPr>
      <w:tblGrid>
        <w:gridCol w:w="1084"/>
        <w:gridCol w:w="3885"/>
      </w:tblGrid>
      <w:tr w:rsidR="009E21EE" w:rsidTr="009E21EE">
        <w:trPr>
          <w:cnfStyle w:val="100000000000" w:firstRow="1" w:lastRow="0" w:firstColumn="0" w:lastColumn="0" w:oddVBand="0" w:evenVBand="0" w:oddHBand="0" w:evenHBand="0" w:firstRowFirstColumn="0" w:firstRowLastColumn="0" w:lastRowFirstColumn="0" w:lastRowLastColumn="0"/>
          <w:tblHeader/>
        </w:trPr>
        <w:tc>
          <w:tcPr>
            <w:tcW w:w="0" w:type="auto"/>
          </w:tcPr>
          <w:p w:rsidR="009E21EE" w:rsidRDefault="00AA5B73">
            <w:pPr>
              <w:pStyle w:val="Compact"/>
            </w:pPr>
            <w:r>
              <w:t>Group</w:t>
            </w:r>
          </w:p>
        </w:tc>
        <w:tc>
          <w:tcPr>
            <w:tcW w:w="0" w:type="auto"/>
          </w:tcPr>
          <w:p w:rsidR="009E21EE" w:rsidRDefault="00AA5B73">
            <w:pPr>
              <w:pStyle w:val="Compact"/>
            </w:pPr>
            <w:r>
              <w:t>Nutrient Solution</w:t>
            </w:r>
          </w:p>
        </w:tc>
      </w:tr>
      <w:tr w:rsidR="009E21EE">
        <w:tc>
          <w:tcPr>
            <w:tcW w:w="0" w:type="auto"/>
          </w:tcPr>
          <w:p w:rsidR="009E21EE" w:rsidRDefault="00AA5B73">
            <w:pPr>
              <w:pStyle w:val="Compact"/>
            </w:pPr>
            <w:r>
              <w:t>Control</w:t>
            </w:r>
          </w:p>
        </w:tc>
        <w:tc>
          <w:tcPr>
            <w:tcW w:w="0" w:type="auto"/>
          </w:tcPr>
          <w:p w:rsidR="009E21EE" w:rsidRDefault="00AA5B73">
            <w:pPr>
              <w:pStyle w:val="Compact"/>
            </w:pPr>
            <w:r>
              <w:t>Complete nutrient solution</w:t>
            </w:r>
          </w:p>
        </w:tc>
      </w:tr>
      <w:tr w:rsidR="009E21EE">
        <w:tc>
          <w:tcPr>
            <w:tcW w:w="0" w:type="auto"/>
          </w:tcPr>
          <w:p w:rsidR="009E21EE" w:rsidRDefault="00AA5B73">
            <w:pPr>
              <w:pStyle w:val="Compact"/>
            </w:pPr>
            <w:r>
              <w:t>Group 1</w:t>
            </w:r>
          </w:p>
        </w:tc>
        <w:tc>
          <w:tcPr>
            <w:tcW w:w="0" w:type="auto"/>
          </w:tcPr>
          <w:p w:rsidR="009E21EE" w:rsidRDefault="00AA5B73">
            <w:pPr>
              <w:pStyle w:val="Compact"/>
            </w:pPr>
            <w:r>
              <w:t>Nitrogen-deficient solution (–N)</w:t>
            </w:r>
          </w:p>
        </w:tc>
      </w:tr>
      <w:tr w:rsidR="009E21EE">
        <w:tc>
          <w:tcPr>
            <w:tcW w:w="0" w:type="auto"/>
          </w:tcPr>
          <w:p w:rsidR="009E21EE" w:rsidRDefault="00AA5B73">
            <w:pPr>
              <w:pStyle w:val="Compact"/>
            </w:pPr>
            <w:r>
              <w:t>Group 2</w:t>
            </w:r>
          </w:p>
        </w:tc>
        <w:tc>
          <w:tcPr>
            <w:tcW w:w="0" w:type="auto"/>
          </w:tcPr>
          <w:p w:rsidR="009E21EE" w:rsidRDefault="00AA5B73">
            <w:pPr>
              <w:pStyle w:val="Compact"/>
            </w:pPr>
            <w:r>
              <w:t>Phosphorus-deficient solution (–P)</w:t>
            </w:r>
          </w:p>
        </w:tc>
      </w:tr>
      <w:tr w:rsidR="009E21EE">
        <w:tc>
          <w:tcPr>
            <w:tcW w:w="0" w:type="auto"/>
          </w:tcPr>
          <w:p w:rsidR="009E21EE" w:rsidRDefault="00AA5B73">
            <w:pPr>
              <w:pStyle w:val="Compact"/>
            </w:pPr>
            <w:r>
              <w:t>Group 3</w:t>
            </w:r>
          </w:p>
        </w:tc>
        <w:tc>
          <w:tcPr>
            <w:tcW w:w="0" w:type="auto"/>
          </w:tcPr>
          <w:p w:rsidR="009E21EE" w:rsidRDefault="00AA5B73">
            <w:pPr>
              <w:pStyle w:val="Compact"/>
            </w:pPr>
            <w:r>
              <w:t>Potassium-deficient solution (–K)</w:t>
            </w:r>
          </w:p>
        </w:tc>
      </w:tr>
    </w:tbl>
    <w:p w:rsidR="009E21EE" w:rsidRDefault="00AA5B73">
      <w:pPr>
        <w:pStyle w:val="Titre3"/>
      </w:pPr>
      <w:bookmarkStart w:id="11" w:name="growth-conditions"/>
      <w:bookmarkEnd w:id="10"/>
      <w:r>
        <w:t>4.3 Growth Conditions</w:t>
      </w:r>
    </w:p>
    <w:p w:rsidR="009E21EE" w:rsidRDefault="00AA5B73">
      <w:pPr>
        <w:pStyle w:val="Compact"/>
        <w:numPr>
          <w:ilvl w:val="0"/>
          <w:numId w:val="7"/>
        </w:numPr>
      </w:pPr>
      <w:r>
        <w:t>Place the seedlings in labeled containers.</w:t>
      </w:r>
    </w:p>
    <w:p w:rsidR="009E21EE" w:rsidRDefault="00AA5B73">
      <w:pPr>
        <w:pStyle w:val="Compact"/>
        <w:numPr>
          <w:ilvl w:val="0"/>
          <w:numId w:val="7"/>
        </w:numPr>
      </w:pPr>
      <w:r>
        <w:t>Add the appropriate nutrient solution to each treatment.</w:t>
      </w:r>
    </w:p>
    <w:p w:rsidR="009E21EE" w:rsidRDefault="00AA5B73">
      <w:pPr>
        <w:pStyle w:val="Compact"/>
        <w:numPr>
          <w:ilvl w:val="0"/>
          <w:numId w:val="7"/>
        </w:numPr>
      </w:pPr>
      <w:r>
        <w:t>Maintain all seedlings under identical environmental conditions.</w:t>
      </w:r>
    </w:p>
    <w:p w:rsidR="009E21EE" w:rsidRDefault="00AA5B73">
      <w:pPr>
        <w:pStyle w:val="Compact"/>
        <w:numPr>
          <w:ilvl w:val="0"/>
          <w:numId w:val="7"/>
        </w:numPr>
      </w:pPr>
      <w:r>
        <w:t>Renew the nutrient solutions every 3–4 days.</w:t>
      </w:r>
    </w:p>
    <w:p w:rsidR="009E21EE" w:rsidRDefault="00AA5B73">
      <w:pPr>
        <w:pStyle w:val="Compact"/>
        <w:numPr>
          <w:ilvl w:val="0"/>
          <w:numId w:val="7"/>
        </w:numPr>
      </w:pPr>
      <w:r>
        <w:t>Continue the experiment for three weeks.</w:t>
      </w:r>
    </w:p>
    <w:p w:rsidR="009E21EE" w:rsidRDefault="00AA5B73">
      <w:pPr>
        <w:pStyle w:val="Titre3"/>
      </w:pPr>
      <w:bookmarkStart w:id="12" w:name="measurements"/>
      <w:bookmarkEnd w:id="11"/>
      <w:r>
        <w:t>4.4 M</w:t>
      </w:r>
      <w:r>
        <w:t>easurements</w:t>
      </w:r>
    </w:p>
    <w:p w:rsidR="009E21EE" w:rsidRDefault="00AA5B73">
      <w:pPr>
        <w:pStyle w:val="FirstParagraph"/>
      </w:pPr>
      <w:r>
        <w:t>Record weekly:</w:t>
      </w:r>
    </w:p>
    <w:p w:rsidR="009E21EE" w:rsidRDefault="00AA5B73">
      <w:pPr>
        <w:pStyle w:val="Compact"/>
        <w:numPr>
          <w:ilvl w:val="0"/>
          <w:numId w:val="8"/>
        </w:numPr>
      </w:pPr>
      <w:r>
        <w:t>Seedling height (cm)</w:t>
      </w:r>
    </w:p>
    <w:p w:rsidR="009E21EE" w:rsidRDefault="00AA5B73">
      <w:pPr>
        <w:pStyle w:val="Compact"/>
        <w:numPr>
          <w:ilvl w:val="0"/>
          <w:numId w:val="8"/>
        </w:numPr>
      </w:pPr>
      <w:r>
        <w:t>Root length (cm)</w:t>
      </w:r>
    </w:p>
    <w:p w:rsidR="009E21EE" w:rsidRDefault="00AA5B73">
      <w:pPr>
        <w:pStyle w:val="Compact"/>
        <w:numPr>
          <w:ilvl w:val="0"/>
          <w:numId w:val="8"/>
        </w:numPr>
      </w:pPr>
      <w:r>
        <w:t>Number of leaves</w:t>
      </w:r>
    </w:p>
    <w:p w:rsidR="009E21EE" w:rsidRDefault="00AA5B73">
      <w:pPr>
        <w:pStyle w:val="Compact"/>
        <w:numPr>
          <w:ilvl w:val="0"/>
          <w:numId w:val="8"/>
        </w:numPr>
      </w:pPr>
      <w:r>
        <w:t>Leaf color</w:t>
      </w:r>
    </w:p>
    <w:p w:rsidR="009E21EE" w:rsidRDefault="00AA5B73">
      <w:pPr>
        <w:pStyle w:val="Compact"/>
        <w:numPr>
          <w:ilvl w:val="0"/>
          <w:numId w:val="8"/>
        </w:numPr>
      </w:pPr>
      <w:r>
        <w:t>Visible deficiency symptoms</w:t>
      </w:r>
    </w:p>
    <w:p w:rsidR="009E21EE" w:rsidRDefault="00AA5B73">
      <w:r>
        <w:pict>
          <v:rect id="_x0000_i1029" style="width:0;height:1.5pt" o:hralign="center" o:hrstd="t" o:hr="t"/>
        </w:pict>
      </w:r>
    </w:p>
    <w:p w:rsidR="009E21EE" w:rsidRDefault="00AA5B73">
      <w:pPr>
        <w:pStyle w:val="Titre2"/>
      </w:pPr>
      <w:bookmarkStart w:id="13" w:name="results"/>
      <w:bookmarkEnd w:id="8"/>
      <w:bookmarkEnd w:id="12"/>
      <w:r>
        <w:t>5. Results</w:t>
      </w:r>
    </w:p>
    <w:p w:rsidR="009E21EE" w:rsidRDefault="00AA5B73">
      <w:pPr>
        <w:pStyle w:val="Titre3"/>
      </w:pPr>
      <w:bookmarkStart w:id="14" w:name="table-1.-average-seedling-height-cm"/>
      <w:r>
        <w:t>Table 1. Average Seedling Height (cm)</w:t>
      </w:r>
    </w:p>
    <w:tbl>
      <w:tblPr>
        <w:tblStyle w:val="Table"/>
        <w:tblW w:w="0" w:type="auto"/>
        <w:tblLook w:val="0020" w:firstRow="1" w:lastRow="0" w:firstColumn="0" w:lastColumn="0" w:noHBand="0" w:noVBand="0"/>
      </w:tblPr>
      <w:tblGrid>
        <w:gridCol w:w="1310"/>
        <w:gridCol w:w="1030"/>
        <w:gridCol w:w="1030"/>
        <w:gridCol w:w="1030"/>
      </w:tblGrid>
      <w:tr w:rsidR="009E21EE" w:rsidTr="009E21EE">
        <w:trPr>
          <w:cnfStyle w:val="100000000000" w:firstRow="1" w:lastRow="0" w:firstColumn="0" w:lastColumn="0" w:oddVBand="0" w:evenVBand="0" w:oddHBand="0" w:evenHBand="0" w:firstRowFirstColumn="0" w:firstRowLastColumn="0" w:lastRowFirstColumn="0" w:lastRowLastColumn="0"/>
          <w:tblHeader/>
        </w:trPr>
        <w:tc>
          <w:tcPr>
            <w:tcW w:w="0" w:type="auto"/>
          </w:tcPr>
          <w:p w:rsidR="009E21EE" w:rsidRDefault="00AA5B73">
            <w:pPr>
              <w:pStyle w:val="Compact"/>
            </w:pPr>
            <w:r>
              <w:t>Treatment</w:t>
            </w:r>
          </w:p>
        </w:tc>
        <w:tc>
          <w:tcPr>
            <w:tcW w:w="0" w:type="auto"/>
          </w:tcPr>
          <w:p w:rsidR="009E21EE" w:rsidRDefault="00AA5B73">
            <w:pPr>
              <w:pStyle w:val="Compact"/>
            </w:pPr>
            <w:r>
              <w:t>Week 1</w:t>
            </w:r>
          </w:p>
        </w:tc>
        <w:tc>
          <w:tcPr>
            <w:tcW w:w="0" w:type="auto"/>
          </w:tcPr>
          <w:p w:rsidR="009E21EE" w:rsidRDefault="00AA5B73">
            <w:pPr>
              <w:pStyle w:val="Compact"/>
            </w:pPr>
            <w:r>
              <w:t>Week 2</w:t>
            </w:r>
          </w:p>
        </w:tc>
        <w:tc>
          <w:tcPr>
            <w:tcW w:w="0" w:type="auto"/>
          </w:tcPr>
          <w:p w:rsidR="009E21EE" w:rsidRDefault="00AA5B73">
            <w:pPr>
              <w:pStyle w:val="Compact"/>
            </w:pPr>
            <w:r>
              <w:t>Week 3</w:t>
            </w:r>
          </w:p>
        </w:tc>
      </w:tr>
      <w:tr w:rsidR="009E21EE">
        <w:tc>
          <w:tcPr>
            <w:tcW w:w="0" w:type="auto"/>
          </w:tcPr>
          <w:p w:rsidR="009E21EE" w:rsidRDefault="00AA5B73">
            <w:pPr>
              <w:pStyle w:val="Compact"/>
            </w:pPr>
            <w:r>
              <w:t>Control</w:t>
            </w:r>
          </w:p>
        </w:tc>
        <w:tc>
          <w:tcPr>
            <w:tcW w:w="0" w:type="auto"/>
          </w:tcPr>
          <w:p w:rsidR="009E21EE" w:rsidRDefault="00AA5B73">
            <w:pPr>
              <w:pStyle w:val="Compact"/>
            </w:pPr>
            <w:r>
              <w:t>8.5</w:t>
            </w:r>
          </w:p>
        </w:tc>
        <w:tc>
          <w:tcPr>
            <w:tcW w:w="0" w:type="auto"/>
          </w:tcPr>
          <w:p w:rsidR="009E21EE" w:rsidRDefault="00AA5B73">
            <w:pPr>
              <w:pStyle w:val="Compact"/>
            </w:pPr>
            <w:r>
              <w:t>14.2</w:t>
            </w:r>
          </w:p>
        </w:tc>
        <w:tc>
          <w:tcPr>
            <w:tcW w:w="0" w:type="auto"/>
          </w:tcPr>
          <w:p w:rsidR="009E21EE" w:rsidRDefault="00AA5B73">
            <w:pPr>
              <w:pStyle w:val="Compact"/>
            </w:pPr>
            <w:r>
              <w:t>21.8</w:t>
            </w:r>
          </w:p>
        </w:tc>
      </w:tr>
      <w:tr w:rsidR="009E21EE">
        <w:tc>
          <w:tcPr>
            <w:tcW w:w="0" w:type="auto"/>
          </w:tcPr>
          <w:p w:rsidR="009E21EE" w:rsidRDefault="00AA5B73">
            <w:pPr>
              <w:pStyle w:val="Compact"/>
            </w:pPr>
            <w:r>
              <w:t>–N</w:t>
            </w:r>
          </w:p>
        </w:tc>
        <w:tc>
          <w:tcPr>
            <w:tcW w:w="0" w:type="auto"/>
          </w:tcPr>
          <w:p w:rsidR="009E21EE" w:rsidRDefault="00AA5B73">
            <w:pPr>
              <w:pStyle w:val="Compact"/>
            </w:pPr>
            <w:r>
              <w:t>7.9</w:t>
            </w:r>
          </w:p>
        </w:tc>
        <w:tc>
          <w:tcPr>
            <w:tcW w:w="0" w:type="auto"/>
          </w:tcPr>
          <w:p w:rsidR="009E21EE" w:rsidRDefault="00AA5B73">
            <w:pPr>
              <w:pStyle w:val="Compact"/>
            </w:pPr>
            <w:r>
              <w:t>11.3</w:t>
            </w:r>
          </w:p>
        </w:tc>
        <w:tc>
          <w:tcPr>
            <w:tcW w:w="0" w:type="auto"/>
          </w:tcPr>
          <w:p w:rsidR="009E21EE" w:rsidRDefault="00AA5B73">
            <w:pPr>
              <w:pStyle w:val="Compact"/>
            </w:pPr>
            <w:r>
              <w:t>15.4</w:t>
            </w:r>
          </w:p>
        </w:tc>
      </w:tr>
      <w:tr w:rsidR="009E21EE">
        <w:tc>
          <w:tcPr>
            <w:tcW w:w="0" w:type="auto"/>
          </w:tcPr>
          <w:p w:rsidR="009E21EE" w:rsidRDefault="00AA5B73">
            <w:pPr>
              <w:pStyle w:val="Compact"/>
            </w:pPr>
            <w:r>
              <w:t>–P</w:t>
            </w:r>
          </w:p>
        </w:tc>
        <w:tc>
          <w:tcPr>
            <w:tcW w:w="0" w:type="auto"/>
          </w:tcPr>
          <w:p w:rsidR="009E21EE" w:rsidRDefault="00AA5B73">
            <w:pPr>
              <w:pStyle w:val="Compact"/>
            </w:pPr>
            <w:r>
              <w:t>8.1</w:t>
            </w:r>
          </w:p>
        </w:tc>
        <w:tc>
          <w:tcPr>
            <w:tcW w:w="0" w:type="auto"/>
          </w:tcPr>
          <w:p w:rsidR="009E21EE" w:rsidRDefault="00AA5B73">
            <w:pPr>
              <w:pStyle w:val="Compact"/>
            </w:pPr>
            <w:r>
              <w:t>12.0</w:t>
            </w:r>
          </w:p>
        </w:tc>
        <w:tc>
          <w:tcPr>
            <w:tcW w:w="0" w:type="auto"/>
          </w:tcPr>
          <w:p w:rsidR="009E21EE" w:rsidRDefault="00AA5B73">
            <w:pPr>
              <w:pStyle w:val="Compact"/>
            </w:pPr>
            <w:r>
              <w:t>17.2</w:t>
            </w:r>
          </w:p>
        </w:tc>
      </w:tr>
      <w:tr w:rsidR="009E21EE">
        <w:tc>
          <w:tcPr>
            <w:tcW w:w="0" w:type="auto"/>
          </w:tcPr>
          <w:p w:rsidR="009E21EE" w:rsidRDefault="00AA5B73">
            <w:pPr>
              <w:pStyle w:val="Compact"/>
            </w:pPr>
            <w:r>
              <w:lastRenderedPageBreak/>
              <w:t>–K</w:t>
            </w:r>
          </w:p>
        </w:tc>
        <w:tc>
          <w:tcPr>
            <w:tcW w:w="0" w:type="auto"/>
          </w:tcPr>
          <w:p w:rsidR="009E21EE" w:rsidRDefault="00AA5B73">
            <w:pPr>
              <w:pStyle w:val="Compact"/>
            </w:pPr>
            <w:r>
              <w:t>8.0</w:t>
            </w:r>
          </w:p>
        </w:tc>
        <w:tc>
          <w:tcPr>
            <w:tcW w:w="0" w:type="auto"/>
          </w:tcPr>
          <w:p w:rsidR="009E21EE" w:rsidRDefault="00AA5B73">
            <w:pPr>
              <w:pStyle w:val="Compact"/>
            </w:pPr>
            <w:r>
              <w:t>12.5</w:t>
            </w:r>
          </w:p>
        </w:tc>
        <w:tc>
          <w:tcPr>
            <w:tcW w:w="0" w:type="auto"/>
          </w:tcPr>
          <w:p w:rsidR="009E21EE" w:rsidRDefault="00AA5B73">
            <w:pPr>
              <w:pStyle w:val="Compact"/>
            </w:pPr>
            <w:r>
              <w:t>18.0</w:t>
            </w:r>
          </w:p>
        </w:tc>
      </w:tr>
    </w:tbl>
    <w:p w:rsidR="009E21EE" w:rsidRDefault="00AA5B73">
      <w:r>
        <w:pict>
          <v:rect id="_x0000_i1030" style="width:0;height:1.5pt" o:hralign="center" o:hrstd="t" o:hr="t"/>
        </w:pict>
      </w:r>
    </w:p>
    <w:p w:rsidR="009E21EE" w:rsidRDefault="00AA5B73">
      <w:pPr>
        <w:pStyle w:val="Titre3"/>
      </w:pPr>
      <w:bookmarkStart w:id="15" w:name="table-2.-root-length-cm"/>
      <w:bookmarkEnd w:id="14"/>
      <w:r>
        <w:t>Table 2. Root Length (cm)</w:t>
      </w:r>
    </w:p>
    <w:tbl>
      <w:tblPr>
        <w:tblStyle w:val="Table"/>
        <w:tblW w:w="0" w:type="auto"/>
        <w:tblLook w:val="0020" w:firstRow="1" w:lastRow="0" w:firstColumn="0" w:lastColumn="0" w:noHBand="0" w:noVBand="0"/>
      </w:tblPr>
      <w:tblGrid>
        <w:gridCol w:w="1310"/>
        <w:gridCol w:w="1030"/>
        <w:gridCol w:w="1030"/>
        <w:gridCol w:w="1030"/>
      </w:tblGrid>
      <w:tr w:rsidR="009E21EE" w:rsidTr="009E21EE">
        <w:trPr>
          <w:cnfStyle w:val="100000000000" w:firstRow="1" w:lastRow="0" w:firstColumn="0" w:lastColumn="0" w:oddVBand="0" w:evenVBand="0" w:oddHBand="0" w:evenHBand="0" w:firstRowFirstColumn="0" w:firstRowLastColumn="0" w:lastRowFirstColumn="0" w:lastRowLastColumn="0"/>
          <w:tblHeader/>
        </w:trPr>
        <w:tc>
          <w:tcPr>
            <w:tcW w:w="0" w:type="auto"/>
          </w:tcPr>
          <w:p w:rsidR="009E21EE" w:rsidRDefault="00AA5B73">
            <w:pPr>
              <w:pStyle w:val="Compact"/>
            </w:pPr>
            <w:r>
              <w:t>Treatment</w:t>
            </w:r>
          </w:p>
        </w:tc>
        <w:tc>
          <w:tcPr>
            <w:tcW w:w="0" w:type="auto"/>
          </w:tcPr>
          <w:p w:rsidR="009E21EE" w:rsidRDefault="00AA5B73">
            <w:pPr>
              <w:pStyle w:val="Compact"/>
            </w:pPr>
            <w:r>
              <w:t>Week 1</w:t>
            </w:r>
          </w:p>
        </w:tc>
        <w:tc>
          <w:tcPr>
            <w:tcW w:w="0" w:type="auto"/>
          </w:tcPr>
          <w:p w:rsidR="009E21EE" w:rsidRDefault="00AA5B73">
            <w:pPr>
              <w:pStyle w:val="Compact"/>
            </w:pPr>
            <w:r>
              <w:t>Week 2</w:t>
            </w:r>
          </w:p>
        </w:tc>
        <w:tc>
          <w:tcPr>
            <w:tcW w:w="0" w:type="auto"/>
          </w:tcPr>
          <w:p w:rsidR="009E21EE" w:rsidRDefault="00AA5B73">
            <w:pPr>
              <w:pStyle w:val="Compact"/>
            </w:pPr>
            <w:r>
              <w:t>Week 3</w:t>
            </w:r>
          </w:p>
        </w:tc>
      </w:tr>
      <w:tr w:rsidR="009E21EE">
        <w:tc>
          <w:tcPr>
            <w:tcW w:w="0" w:type="auto"/>
          </w:tcPr>
          <w:p w:rsidR="009E21EE" w:rsidRDefault="00AA5B73">
            <w:pPr>
              <w:pStyle w:val="Compact"/>
            </w:pPr>
            <w:r>
              <w:t>Control</w:t>
            </w:r>
          </w:p>
        </w:tc>
        <w:tc>
          <w:tcPr>
            <w:tcW w:w="0" w:type="auto"/>
          </w:tcPr>
          <w:p w:rsidR="009E21EE" w:rsidRDefault="009E21EE">
            <w:pPr>
              <w:pStyle w:val="Compact"/>
            </w:pPr>
          </w:p>
        </w:tc>
        <w:tc>
          <w:tcPr>
            <w:tcW w:w="0" w:type="auto"/>
          </w:tcPr>
          <w:p w:rsidR="009E21EE" w:rsidRDefault="009E21EE">
            <w:pPr>
              <w:pStyle w:val="Compact"/>
            </w:pPr>
          </w:p>
        </w:tc>
        <w:tc>
          <w:tcPr>
            <w:tcW w:w="0" w:type="auto"/>
          </w:tcPr>
          <w:p w:rsidR="009E21EE" w:rsidRDefault="009E21EE">
            <w:pPr>
              <w:pStyle w:val="Compact"/>
            </w:pPr>
          </w:p>
        </w:tc>
      </w:tr>
      <w:tr w:rsidR="009E21EE">
        <w:tc>
          <w:tcPr>
            <w:tcW w:w="0" w:type="auto"/>
          </w:tcPr>
          <w:p w:rsidR="009E21EE" w:rsidRDefault="00AA5B73">
            <w:pPr>
              <w:pStyle w:val="Compact"/>
            </w:pPr>
            <w:r>
              <w:t>–N</w:t>
            </w:r>
          </w:p>
        </w:tc>
        <w:tc>
          <w:tcPr>
            <w:tcW w:w="0" w:type="auto"/>
          </w:tcPr>
          <w:p w:rsidR="009E21EE" w:rsidRDefault="009E21EE">
            <w:pPr>
              <w:pStyle w:val="Compact"/>
            </w:pPr>
          </w:p>
        </w:tc>
        <w:tc>
          <w:tcPr>
            <w:tcW w:w="0" w:type="auto"/>
          </w:tcPr>
          <w:p w:rsidR="009E21EE" w:rsidRDefault="009E21EE">
            <w:pPr>
              <w:pStyle w:val="Compact"/>
            </w:pPr>
          </w:p>
        </w:tc>
        <w:tc>
          <w:tcPr>
            <w:tcW w:w="0" w:type="auto"/>
          </w:tcPr>
          <w:p w:rsidR="009E21EE" w:rsidRDefault="009E21EE">
            <w:pPr>
              <w:pStyle w:val="Compact"/>
            </w:pPr>
          </w:p>
        </w:tc>
      </w:tr>
      <w:tr w:rsidR="009E21EE">
        <w:tc>
          <w:tcPr>
            <w:tcW w:w="0" w:type="auto"/>
          </w:tcPr>
          <w:p w:rsidR="009E21EE" w:rsidRDefault="00AA5B73">
            <w:pPr>
              <w:pStyle w:val="Compact"/>
            </w:pPr>
            <w:r>
              <w:t>–P</w:t>
            </w:r>
          </w:p>
        </w:tc>
        <w:tc>
          <w:tcPr>
            <w:tcW w:w="0" w:type="auto"/>
          </w:tcPr>
          <w:p w:rsidR="009E21EE" w:rsidRDefault="009E21EE">
            <w:pPr>
              <w:pStyle w:val="Compact"/>
            </w:pPr>
          </w:p>
        </w:tc>
        <w:tc>
          <w:tcPr>
            <w:tcW w:w="0" w:type="auto"/>
          </w:tcPr>
          <w:p w:rsidR="009E21EE" w:rsidRDefault="009E21EE">
            <w:pPr>
              <w:pStyle w:val="Compact"/>
            </w:pPr>
          </w:p>
        </w:tc>
        <w:tc>
          <w:tcPr>
            <w:tcW w:w="0" w:type="auto"/>
          </w:tcPr>
          <w:p w:rsidR="009E21EE" w:rsidRDefault="009E21EE">
            <w:pPr>
              <w:pStyle w:val="Compact"/>
            </w:pPr>
          </w:p>
        </w:tc>
      </w:tr>
      <w:tr w:rsidR="009E21EE">
        <w:tc>
          <w:tcPr>
            <w:tcW w:w="0" w:type="auto"/>
          </w:tcPr>
          <w:p w:rsidR="009E21EE" w:rsidRDefault="00AA5B73">
            <w:pPr>
              <w:pStyle w:val="Compact"/>
            </w:pPr>
            <w:r>
              <w:t>–K</w:t>
            </w:r>
          </w:p>
        </w:tc>
        <w:tc>
          <w:tcPr>
            <w:tcW w:w="0" w:type="auto"/>
          </w:tcPr>
          <w:p w:rsidR="009E21EE" w:rsidRDefault="009E21EE">
            <w:pPr>
              <w:pStyle w:val="Compact"/>
            </w:pPr>
          </w:p>
        </w:tc>
        <w:tc>
          <w:tcPr>
            <w:tcW w:w="0" w:type="auto"/>
          </w:tcPr>
          <w:p w:rsidR="009E21EE" w:rsidRDefault="009E21EE">
            <w:pPr>
              <w:pStyle w:val="Compact"/>
            </w:pPr>
          </w:p>
        </w:tc>
        <w:tc>
          <w:tcPr>
            <w:tcW w:w="0" w:type="auto"/>
          </w:tcPr>
          <w:p w:rsidR="009E21EE" w:rsidRDefault="009E21EE">
            <w:pPr>
              <w:pStyle w:val="Compact"/>
            </w:pPr>
          </w:p>
        </w:tc>
      </w:tr>
    </w:tbl>
    <w:p w:rsidR="009E21EE" w:rsidRDefault="00AA5B73">
      <w:r>
        <w:pict>
          <v:rect id="_x0000_i1031" style="width:0;height:1.5pt" o:hralign="center" o:hrstd="t" o:hr="t"/>
        </w:pict>
      </w:r>
    </w:p>
    <w:p w:rsidR="009E21EE" w:rsidRDefault="00AA5B73">
      <w:pPr>
        <w:pStyle w:val="Titre3"/>
      </w:pPr>
      <w:bookmarkStart w:id="16" w:name="table-3.-qualitative-observations"/>
      <w:bookmarkEnd w:id="15"/>
      <w:r>
        <w:t>Table 3. Qualitative Observations</w:t>
      </w:r>
    </w:p>
    <w:tbl>
      <w:tblPr>
        <w:tblStyle w:val="Table"/>
        <w:tblW w:w="0" w:type="auto"/>
        <w:tblLook w:val="0020" w:firstRow="1" w:lastRow="0" w:firstColumn="0" w:lastColumn="0" w:noHBand="0" w:noVBand="0"/>
      </w:tblPr>
      <w:tblGrid>
        <w:gridCol w:w="1310"/>
        <w:gridCol w:w="4312"/>
      </w:tblGrid>
      <w:tr w:rsidR="009E21EE" w:rsidTr="009E21EE">
        <w:trPr>
          <w:cnfStyle w:val="100000000000" w:firstRow="1" w:lastRow="0" w:firstColumn="0" w:lastColumn="0" w:oddVBand="0" w:evenVBand="0" w:oddHBand="0" w:evenHBand="0" w:firstRowFirstColumn="0" w:firstRowLastColumn="0" w:lastRowFirstColumn="0" w:lastRowLastColumn="0"/>
          <w:tblHeader/>
        </w:trPr>
        <w:tc>
          <w:tcPr>
            <w:tcW w:w="0" w:type="auto"/>
          </w:tcPr>
          <w:p w:rsidR="009E21EE" w:rsidRDefault="00AA5B73">
            <w:pPr>
              <w:pStyle w:val="Compact"/>
            </w:pPr>
            <w:r>
              <w:t>Treatment</w:t>
            </w:r>
          </w:p>
        </w:tc>
        <w:tc>
          <w:tcPr>
            <w:tcW w:w="0" w:type="auto"/>
          </w:tcPr>
          <w:p w:rsidR="009E21EE" w:rsidRDefault="00AA5B73">
            <w:pPr>
              <w:pStyle w:val="Compact"/>
            </w:pPr>
            <w:r>
              <w:t>Observed Symptoms</w:t>
            </w:r>
          </w:p>
        </w:tc>
      </w:tr>
      <w:tr w:rsidR="009E21EE">
        <w:tc>
          <w:tcPr>
            <w:tcW w:w="0" w:type="auto"/>
          </w:tcPr>
          <w:p w:rsidR="009E21EE" w:rsidRDefault="00AA5B73">
            <w:pPr>
              <w:pStyle w:val="Compact"/>
            </w:pPr>
            <w:r>
              <w:t>Control</w:t>
            </w:r>
          </w:p>
        </w:tc>
        <w:tc>
          <w:tcPr>
            <w:tcW w:w="0" w:type="auto"/>
          </w:tcPr>
          <w:p w:rsidR="009E21EE" w:rsidRDefault="00AA5B73">
            <w:pPr>
              <w:pStyle w:val="Compact"/>
            </w:pPr>
            <w:r>
              <w:t>Normal growth, green leaves</w:t>
            </w:r>
          </w:p>
        </w:tc>
      </w:tr>
      <w:tr w:rsidR="009E21EE">
        <w:tc>
          <w:tcPr>
            <w:tcW w:w="0" w:type="auto"/>
          </w:tcPr>
          <w:p w:rsidR="009E21EE" w:rsidRDefault="00AA5B73">
            <w:pPr>
              <w:pStyle w:val="Compact"/>
            </w:pPr>
            <w:r>
              <w:t>–N</w:t>
            </w:r>
          </w:p>
        </w:tc>
        <w:tc>
          <w:tcPr>
            <w:tcW w:w="0" w:type="auto"/>
          </w:tcPr>
          <w:p w:rsidR="009E21EE" w:rsidRDefault="00AA5B73">
            <w:pPr>
              <w:pStyle w:val="Compact"/>
            </w:pPr>
            <w:r>
              <w:t>Yellowing of older leaves (chlorosis)</w:t>
            </w:r>
          </w:p>
        </w:tc>
      </w:tr>
      <w:tr w:rsidR="009E21EE">
        <w:tc>
          <w:tcPr>
            <w:tcW w:w="0" w:type="auto"/>
          </w:tcPr>
          <w:p w:rsidR="009E21EE" w:rsidRDefault="00AA5B73">
            <w:pPr>
              <w:pStyle w:val="Compact"/>
            </w:pPr>
            <w:r>
              <w:t>–P</w:t>
            </w:r>
          </w:p>
        </w:tc>
        <w:tc>
          <w:tcPr>
            <w:tcW w:w="0" w:type="auto"/>
          </w:tcPr>
          <w:p w:rsidR="009E21EE" w:rsidRDefault="00AA5B73">
            <w:pPr>
              <w:pStyle w:val="Compact"/>
            </w:pPr>
            <w:r>
              <w:t>Reduced growth, dark green leaves</w:t>
            </w:r>
          </w:p>
        </w:tc>
      </w:tr>
      <w:tr w:rsidR="009E21EE">
        <w:tc>
          <w:tcPr>
            <w:tcW w:w="0" w:type="auto"/>
          </w:tcPr>
          <w:p w:rsidR="009E21EE" w:rsidRDefault="00AA5B73">
            <w:pPr>
              <w:pStyle w:val="Compact"/>
            </w:pPr>
            <w:r>
              <w:t>–K</w:t>
            </w:r>
          </w:p>
        </w:tc>
        <w:tc>
          <w:tcPr>
            <w:tcW w:w="0" w:type="auto"/>
          </w:tcPr>
          <w:p w:rsidR="009E21EE" w:rsidRDefault="00AA5B73">
            <w:pPr>
              <w:pStyle w:val="Compact"/>
            </w:pPr>
            <w:r>
              <w:t>Yellowing and necrosis of leaf margins</w:t>
            </w:r>
          </w:p>
        </w:tc>
      </w:tr>
    </w:tbl>
    <w:p w:rsidR="009E21EE" w:rsidRDefault="00AA5B73">
      <w:r>
        <w:pict>
          <v:rect id="_x0000_i1032" style="width:0;height:1.5pt" o:hralign="center" o:hrstd="t" o:hr="t"/>
        </w:pict>
      </w:r>
    </w:p>
    <w:p w:rsidR="009E21EE" w:rsidRDefault="00AA5B73">
      <w:pPr>
        <w:pStyle w:val="Titre2"/>
      </w:pPr>
      <w:bookmarkStart w:id="17" w:name="data-analysis"/>
      <w:bookmarkEnd w:id="13"/>
      <w:bookmarkEnd w:id="16"/>
      <w:r>
        <w:t>6. Data Analysis</w:t>
      </w:r>
    </w:p>
    <w:p w:rsidR="009E21EE" w:rsidRDefault="00AA5B73">
      <w:pPr>
        <w:pStyle w:val="Compact"/>
        <w:numPr>
          <w:ilvl w:val="0"/>
          <w:numId w:val="9"/>
        </w:numPr>
      </w:pPr>
      <w:r>
        <w:t>Plot growth curves for each treatment.</w:t>
      </w:r>
    </w:p>
    <w:p w:rsidR="009E21EE" w:rsidRDefault="00AA5B73">
      <w:pPr>
        <w:pStyle w:val="Compact"/>
        <w:numPr>
          <w:ilvl w:val="0"/>
          <w:numId w:val="9"/>
        </w:numPr>
      </w:pPr>
      <w:r>
        <w:t>Compare the growth rates of seedlings.</w:t>
      </w:r>
    </w:p>
    <w:p w:rsidR="009E21EE" w:rsidRDefault="00AA5B73">
      <w:pPr>
        <w:pStyle w:val="Compact"/>
        <w:numPr>
          <w:ilvl w:val="0"/>
          <w:numId w:val="9"/>
        </w:numPr>
      </w:pPr>
      <w:r>
        <w:t>Identify deficiency symptoms associated</w:t>
      </w:r>
      <w:r>
        <w:t xml:space="preserve"> with each nutrient.</w:t>
      </w:r>
    </w:p>
    <w:p w:rsidR="009E21EE" w:rsidRDefault="00AA5B73">
      <w:pPr>
        <w:pStyle w:val="Compact"/>
        <w:numPr>
          <w:ilvl w:val="0"/>
          <w:numId w:val="9"/>
        </w:numPr>
      </w:pPr>
      <w:r>
        <w:t>Relate the observed symptoms to the physiological functions of nitrogen, phosphorus, and potassium.</w:t>
      </w:r>
    </w:p>
    <w:p w:rsidR="009E21EE" w:rsidRDefault="00AA5B73">
      <w:pPr>
        <w:pStyle w:val="Compact"/>
        <w:numPr>
          <w:ilvl w:val="0"/>
          <w:numId w:val="9"/>
        </w:numPr>
      </w:pPr>
      <w:r>
        <w:t>Determine which nutrient deficiency has the greatest impact on growth.</w:t>
      </w:r>
    </w:p>
    <w:p w:rsidR="009E21EE" w:rsidRDefault="00AA5B73">
      <w:r>
        <w:pict>
          <v:rect id="_x0000_i1033" style="width:0;height:1.5pt" o:hralign="center" o:hrstd="t" o:hr="t"/>
        </w:pict>
      </w:r>
    </w:p>
    <w:p w:rsidR="009E21EE" w:rsidRDefault="009951CF" w:rsidP="009951CF">
      <w:pPr>
        <w:pStyle w:val="Titre2"/>
      </w:pPr>
      <w:bookmarkStart w:id="18" w:name="conclusion"/>
      <w:bookmarkEnd w:id="17"/>
      <w:r>
        <w:t>7</w:t>
      </w:r>
      <w:r w:rsidR="00AA5B73">
        <w:t>. Conclusion</w:t>
      </w:r>
    </w:p>
    <w:p w:rsidR="009E21EE" w:rsidRDefault="00AA5B73">
      <w:pPr>
        <w:pStyle w:val="FirstParagraph"/>
      </w:pPr>
      <w:r>
        <w:t>T</w:t>
      </w:r>
      <w:r>
        <w:t>he growth of seedlings is strongly influenced by the composition of the nutrient solution. Deficiencies in nitrogen, phosphorus, and potassium reduce plant growth and induce characteristic symptoms. Adequate mineral nutrition is therefore essential for op</w:t>
      </w:r>
      <w:r>
        <w:t>timal plant development and productivity.</w:t>
      </w:r>
    </w:p>
    <w:p w:rsidR="009E21EE" w:rsidRDefault="009E21EE">
      <w:pPr>
        <w:pStyle w:val="Corpsdetexte"/>
      </w:pPr>
      <w:bookmarkStart w:id="19" w:name="references"/>
      <w:bookmarkEnd w:id="0"/>
      <w:bookmarkEnd w:id="18"/>
      <w:bookmarkEnd w:id="19"/>
    </w:p>
    <w:sectPr w:rsidR="009E21EE">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709CA61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E5C0A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9C412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EE"/>
    <w:rsid w:val="009951CF"/>
    <w:rsid w:val="009E21EE"/>
    <w:rsid w:val="00AA5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820D8-26C6-4B9F-9BEB-2E4D408C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dell</cp:lastModifiedBy>
  <cp:revision>2</cp:revision>
  <dcterms:created xsi:type="dcterms:W3CDTF">2026-06-19T11:36:00Z</dcterms:created>
  <dcterms:modified xsi:type="dcterms:W3CDTF">2026-06-19T11:36:00Z</dcterms:modified>
</cp:coreProperties>
</file>