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661C" w:rsidRDefault="00B27666">
      <w:pPr>
        <w:pStyle w:val="Titre1"/>
      </w:pPr>
      <w:bookmarkStart w:id="0" w:name="X7596ec4c2262cf3a8e2b3be4b8ddf2a121c239e"/>
      <w:bookmarkStart w:id="1" w:name="_GoBack"/>
      <w:bookmarkEnd w:id="1"/>
      <w:r>
        <w:t>Study of the Growth of Broad Bean Seedlings (</w:t>
      </w:r>
      <w:r>
        <w:rPr>
          <w:i/>
          <w:iCs/>
        </w:rPr>
        <w:t>Vicia faba</w:t>
      </w:r>
      <w:r>
        <w:t>) in Different Nutrient Solutions</w:t>
      </w:r>
    </w:p>
    <w:p w:rsidR="004F661C" w:rsidRDefault="00B27666">
      <w:r>
        <w:pict>
          <v:rect id="_x0000_i1025" style="width:0;height:1.5pt" o:hralign="center" o:hrstd="t" o:hr="t"/>
        </w:pict>
      </w:r>
    </w:p>
    <w:p w:rsidR="004F661C" w:rsidRDefault="00B27666">
      <w:pPr>
        <w:pStyle w:val="Titre2"/>
      </w:pPr>
      <w:bookmarkStart w:id="2" w:name="objective"/>
      <w:r>
        <w:t>1. Objective</w:t>
      </w:r>
    </w:p>
    <w:p w:rsidR="004F661C" w:rsidRDefault="00B27666">
      <w:pPr>
        <w:pStyle w:val="FirstParagraph"/>
      </w:pPr>
      <w:r>
        <w:t>This practical work aims to:</w:t>
      </w:r>
    </w:p>
    <w:p w:rsidR="004F661C" w:rsidRDefault="00B27666">
      <w:pPr>
        <w:pStyle w:val="Compact"/>
        <w:numPr>
          <w:ilvl w:val="0"/>
          <w:numId w:val="2"/>
        </w:numPr>
      </w:pPr>
      <w:r>
        <w:t>Demonstrate the importance of mineral nutrients in plant growth and development.</w:t>
      </w:r>
    </w:p>
    <w:p w:rsidR="004F661C" w:rsidRDefault="00B27666">
      <w:pPr>
        <w:pStyle w:val="Compact"/>
        <w:numPr>
          <w:ilvl w:val="0"/>
          <w:numId w:val="2"/>
        </w:numPr>
      </w:pPr>
      <w:r>
        <w:t>Compare the effects of different nutrient solutions on the growth of broad bean seedlings.</w:t>
      </w:r>
    </w:p>
    <w:p w:rsidR="004F661C" w:rsidRDefault="00B27666">
      <w:pPr>
        <w:pStyle w:val="Compact"/>
        <w:numPr>
          <w:ilvl w:val="0"/>
          <w:numId w:val="2"/>
        </w:numPr>
      </w:pPr>
      <w:r>
        <w:t>Identify the symptoms associated with nutrient deficiencies.</w:t>
      </w:r>
    </w:p>
    <w:p w:rsidR="004F661C" w:rsidRDefault="00B27666">
      <w:pPr>
        <w:pStyle w:val="Compact"/>
        <w:numPr>
          <w:ilvl w:val="0"/>
          <w:numId w:val="2"/>
        </w:numPr>
      </w:pPr>
      <w:r>
        <w:t>Understand the physiological roles of nitrogen, phosphorus, and potassium in plants.</w:t>
      </w:r>
    </w:p>
    <w:p w:rsidR="004F661C" w:rsidRDefault="00B27666">
      <w:r>
        <w:pict>
          <v:rect id="_x0000_i1026" style="width:0;height:1.5pt" o:hralign="center" o:hrstd="t" o:hr="t"/>
        </w:pict>
      </w:r>
    </w:p>
    <w:p w:rsidR="004F661C" w:rsidRDefault="00B27666">
      <w:pPr>
        <w:pStyle w:val="Titre2"/>
      </w:pPr>
      <w:bookmarkStart w:id="3" w:name="materials"/>
      <w:bookmarkEnd w:id="2"/>
      <w:r>
        <w:t>2. Materials</w:t>
      </w:r>
    </w:p>
    <w:p w:rsidR="004F661C" w:rsidRDefault="00B27666">
      <w:pPr>
        <w:pStyle w:val="Titre3"/>
      </w:pPr>
      <w:bookmarkStart w:id="4" w:name="biological-material"/>
      <w:r>
        <w:t>Biol</w:t>
      </w:r>
      <w:r>
        <w:t>ogical Material</w:t>
      </w:r>
    </w:p>
    <w:p w:rsidR="004F661C" w:rsidRDefault="00B27666">
      <w:pPr>
        <w:pStyle w:val="Compact"/>
        <w:numPr>
          <w:ilvl w:val="0"/>
          <w:numId w:val="3"/>
        </w:numPr>
      </w:pPr>
      <w:r>
        <w:t>Germinated broad bean (</w:t>
      </w:r>
      <w:r>
        <w:rPr>
          <w:i/>
          <w:iCs/>
        </w:rPr>
        <w:t>Vicia faba</w:t>
      </w:r>
      <w:r>
        <w:t>) seeds</w:t>
      </w:r>
    </w:p>
    <w:p w:rsidR="004F661C" w:rsidRDefault="00B27666">
      <w:pPr>
        <w:pStyle w:val="Titre3"/>
      </w:pPr>
      <w:bookmarkStart w:id="5" w:name="equipment"/>
      <w:bookmarkEnd w:id="4"/>
      <w:r>
        <w:t>Equipment</w:t>
      </w:r>
    </w:p>
    <w:p w:rsidR="004F661C" w:rsidRDefault="00B27666">
      <w:pPr>
        <w:pStyle w:val="Compact"/>
        <w:numPr>
          <w:ilvl w:val="0"/>
          <w:numId w:val="4"/>
        </w:numPr>
      </w:pPr>
      <w:r>
        <w:t>Plastic containers or beakers</w:t>
      </w:r>
    </w:p>
    <w:p w:rsidR="004F661C" w:rsidRDefault="00B27666">
      <w:pPr>
        <w:pStyle w:val="Compact"/>
        <w:numPr>
          <w:ilvl w:val="0"/>
          <w:numId w:val="4"/>
        </w:numPr>
      </w:pPr>
      <w:r>
        <w:t>Cotton wool or filter paper</w:t>
      </w:r>
    </w:p>
    <w:p w:rsidR="004F661C" w:rsidRDefault="00B27666">
      <w:pPr>
        <w:pStyle w:val="Compact"/>
        <w:numPr>
          <w:ilvl w:val="0"/>
          <w:numId w:val="4"/>
        </w:numPr>
      </w:pPr>
      <w:r>
        <w:t>Graduated ruler</w:t>
      </w:r>
    </w:p>
    <w:p w:rsidR="004F661C" w:rsidRDefault="00B27666">
      <w:pPr>
        <w:pStyle w:val="Compact"/>
        <w:numPr>
          <w:ilvl w:val="0"/>
          <w:numId w:val="4"/>
        </w:numPr>
      </w:pPr>
      <w:r>
        <w:t>Labels and marker</w:t>
      </w:r>
    </w:p>
    <w:p w:rsidR="004F661C" w:rsidRDefault="00B27666">
      <w:pPr>
        <w:pStyle w:val="Compact"/>
        <w:numPr>
          <w:ilvl w:val="0"/>
          <w:numId w:val="4"/>
        </w:numPr>
      </w:pPr>
      <w:r>
        <w:t>Analytical balance (optional)</w:t>
      </w:r>
    </w:p>
    <w:p w:rsidR="004F661C" w:rsidRDefault="00B27666">
      <w:pPr>
        <w:pStyle w:val="Titre3"/>
      </w:pPr>
      <w:bookmarkStart w:id="6" w:name="reagents"/>
      <w:bookmarkEnd w:id="5"/>
      <w:r>
        <w:t>Reagents</w:t>
      </w:r>
    </w:p>
    <w:p w:rsidR="004F661C" w:rsidRDefault="00B27666">
      <w:pPr>
        <w:pStyle w:val="Compact"/>
        <w:numPr>
          <w:ilvl w:val="0"/>
          <w:numId w:val="5"/>
        </w:numPr>
      </w:pPr>
      <w:r>
        <w:t>Distilled water</w:t>
      </w:r>
    </w:p>
    <w:p w:rsidR="004F661C" w:rsidRDefault="00B27666">
      <w:pPr>
        <w:pStyle w:val="Compact"/>
        <w:numPr>
          <w:ilvl w:val="0"/>
          <w:numId w:val="5"/>
        </w:numPr>
      </w:pPr>
      <w:r>
        <w:t>Complete nutrient solution (Hoagland solut</w:t>
      </w:r>
      <w:r>
        <w:t>ion)</w:t>
      </w:r>
    </w:p>
    <w:p w:rsidR="004F661C" w:rsidRDefault="00B27666">
      <w:pPr>
        <w:pStyle w:val="Compact"/>
        <w:numPr>
          <w:ilvl w:val="0"/>
          <w:numId w:val="5"/>
        </w:numPr>
      </w:pPr>
      <w:r>
        <w:t>Nitrogen-free nutrient solution (–N)</w:t>
      </w:r>
    </w:p>
    <w:p w:rsidR="004F661C" w:rsidRDefault="00B27666">
      <w:pPr>
        <w:pStyle w:val="Compact"/>
        <w:numPr>
          <w:ilvl w:val="0"/>
          <w:numId w:val="5"/>
        </w:numPr>
      </w:pPr>
      <w:r>
        <w:t>Phosphorus-free nutrient solution (–P)</w:t>
      </w:r>
    </w:p>
    <w:p w:rsidR="004F661C" w:rsidRDefault="00B27666">
      <w:pPr>
        <w:pStyle w:val="Compact"/>
        <w:numPr>
          <w:ilvl w:val="0"/>
          <w:numId w:val="5"/>
        </w:numPr>
      </w:pPr>
      <w:r>
        <w:t>Potassium-free nutrient solution (–K)</w:t>
      </w:r>
    </w:p>
    <w:p w:rsidR="004F661C" w:rsidRDefault="00B27666">
      <w:r>
        <w:pict>
          <v:rect id="_x0000_i1027" style="width:0;height:1.5pt" o:hralign="center" o:hrstd="t" o:hr="t"/>
        </w:pict>
      </w:r>
    </w:p>
    <w:p w:rsidR="004F661C" w:rsidRDefault="00B27666">
      <w:pPr>
        <w:pStyle w:val="Titre2"/>
      </w:pPr>
      <w:bookmarkStart w:id="7" w:name="experimental-procedure"/>
      <w:bookmarkEnd w:id="3"/>
      <w:bookmarkEnd w:id="6"/>
      <w:r>
        <w:t>3. Experimental Procedure</w:t>
      </w:r>
    </w:p>
    <w:p w:rsidR="004F661C" w:rsidRDefault="00B27666">
      <w:pPr>
        <w:pStyle w:val="Titre3"/>
      </w:pPr>
      <w:bookmarkStart w:id="8" w:name="preparation-of-seedlings"/>
      <w:r>
        <w:t>3.1 Preparation of Seedlings</w:t>
      </w:r>
    </w:p>
    <w:p w:rsidR="004F661C" w:rsidRDefault="00B27666">
      <w:pPr>
        <w:pStyle w:val="Compact"/>
        <w:numPr>
          <w:ilvl w:val="0"/>
          <w:numId w:val="6"/>
        </w:numPr>
      </w:pPr>
      <w:r>
        <w:t>Soak broad bean seeds in distilled water for 24 hours.</w:t>
      </w:r>
    </w:p>
    <w:p w:rsidR="004F661C" w:rsidRDefault="00B27666">
      <w:pPr>
        <w:pStyle w:val="Compact"/>
        <w:numPr>
          <w:ilvl w:val="0"/>
          <w:numId w:val="6"/>
        </w:numPr>
      </w:pPr>
      <w:r>
        <w:lastRenderedPageBreak/>
        <w:t>Place the seeds on moist cotton wool or filter paper and allow them to germinate for 4–5 days.</w:t>
      </w:r>
    </w:p>
    <w:p w:rsidR="004F661C" w:rsidRDefault="00B27666">
      <w:pPr>
        <w:pStyle w:val="Compact"/>
        <w:numPr>
          <w:ilvl w:val="0"/>
          <w:numId w:val="6"/>
        </w:numPr>
      </w:pPr>
      <w:r>
        <w:t>Select healthy seedlings of approximately the same size.</w:t>
      </w:r>
    </w:p>
    <w:p w:rsidR="004F661C" w:rsidRDefault="00B27666">
      <w:pPr>
        <w:pStyle w:val="Compact"/>
        <w:numPr>
          <w:ilvl w:val="0"/>
          <w:numId w:val="6"/>
        </w:numPr>
      </w:pPr>
      <w:r>
        <w:t>Divide the seedlings into four groups.</w:t>
      </w:r>
    </w:p>
    <w:p w:rsidR="004F661C" w:rsidRDefault="00B27666">
      <w:pPr>
        <w:pStyle w:val="Titre3"/>
      </w:pPr>
      <w:bookmarkStart w:id="9" w:name="experimental-treatments"/>
      <w:bookmarkEnd w:id="8"/>
      <w:r>
        <w:t>3.2 Experimental Treatments</w:t>
      </w:r>
    </w:p>
    <w:tbl>
      <w:tblPr>
        <w:tblStyle w:val="Table"/>
        <w:tblW w:w="0" w:type="auto"/>
        <w:tblLook w:val="0020" w:firstRow="1" w:lastRow="0" w:firstColumn="0" w:lastColumn="0" w:noHBand="0" w:noVBand="0"/>
      </w:tblPr>
      <w:tblGrid>
        <w:gridCol w:w="1084"/>
        <w:gridCol w:w="3405"/>
      </w:tblGrid>
      <w:tr w:rsidR="004F661C" w:rsidTr="004F661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:rsidR="004F661C" w:rsidRDefault="00B27666">
            <w:pPr>
              <w:pStyle w:val="Compact"/>
            </w:pPr>
            <w:r>
              <w:t>Group</w:t>
            </w:r>
          </w:p>
        </w:tc>
        <w:tc>
          <w:tcPr>
            <w:tcW w:w="0" w:type="auto"/>
          </w:tcPr>
          <w:p w:rsidR="004F661C" w:rsidRDefault="00B27666">
            <w:pPr>
              <w:pStyle w:val="Compact"/>
            </w:pPr>
            <w:r>
              <w:t>Nutrient Solution</w:t>
            </w:r>
          </w:p>
        </w:tc>
      </w:tr>
      <w:tr w:rsidR="004F661C">
        <w:tc>
          <w:tcPr>
            <w:tcW w:w="0" w:type="auto"/>
          </w:tcPr>
          <w:p w:rsidR="004F661C" w:rsidRDefault="00B27666">
            <w:pPr>
              <w:pStyle w:val="Compact"/>
            </w:pPr>
            <w:r>
              <w:t>Control</w:t>
            </w:r>
          </w:p>
        </w:tc>
        <w:tc>
          <w:tcPr>
            <w:tcW w:w="0" w:type="auto"/>
          </w:tcPr>
          <w:p w:rsidR="004F661C" w:rsidRDefault="00B27666">
            <w:pPr>
              <w:pStyle w:val="Compact"/>
            </w:pPr>
            <w:r>
              <w:t>Comp</w:t>
            </w:r>
            <w:r>
              <w:t>lete nutrient solution</w:t>
            </w:r>
          </w:p>
        </w:tc>
      </w:tr>
      <w:tr w:rsidR="004F661C">
        <w:tc>
          <w:tcPr>
            <w:tcW w:w="0" w:type="auto"/>
          </w:tcPr>
          <w:p w:rsidR="004F661C" w:rsidRDefault="00B27666">
            <w:pPr>
              <w:pStyle w:val="Compact"/>
            </w:pPr>
            <w:r>
              <w:t>Group 1</w:t>
            </w:r>
          </w:p>
        </w:tc>
        <w:tc>
          <w:tcPr>
            <w:tcW w:w="0" w:type="auto"/>
          </w:tcPr>
          <w:p w:rsidR="004F661C" w:rsidRDefault="00B27666">
            <w:pPr>
              <w:pStyle w:val="Compact"/>
            </w:pPr>
            <w:r>
              <w:t>Nitrogen-free solution (–N)</w:t>
            </w:r>
          </w:p>
        </w:tc>
      </w:tr>
      <w:tr w:rsidR="004F661C">
        <w:tc>
          <w:tcPr>
            <w:tcW w:w="0" w:type="auto"/>
          </w:tcPr>
          <w:p w:rsidR="004F661C" w:rsidRDefault="00B27666">
            <w:pPr>
              <w:pStyle w:val="Compact"/>
            </w:pPr>
            <w:r>
              <w:t>Group 2</w:t>
            </w:r>
          </w:p>
        </w:tc>
        <w:tc>
          <w:tcPr>
            <w:tcW w:w="0" w:type="auto"/>
          </w:tcPr>
          <w:p w:rsidR="004F661C" w:rsidRDefault="00B27666">
            <w:pPr>
              <w:pStyle w:val="Compact"/>
            </w:pPr>
            <w:r>
              <w:t>Phosphorus-free solution (–P)</w:t>
            </w:r>
          </w:p>
        </w:tc>
      </w:tr>
      <w:tr w:rsidR="004F661C">
        <w:tc>
          <w:tcPr>
            <w:tcW w:w="0" w:type="auto"/>
          </w:tcPr>
          <w:p w:rsidR="004F661C" w:rsidRDefault="00B27666">
            <w:pPr>
              <w:pStyle w:val="Compact"/>
            </w:pPr>
            <w:r>
              <w:t>Group 3</w:t>
            </w:r>
          </w:p>
        </w:tc>
        <w:tc>
          <w:tcPr>
            <w:tcW w:w="0" w:type="auto"/>
          </w:tcPr>
          <w:p w:rsidR="004F661C" w:rsidRDefault="00B27666">
            <w:pPr>
              <w:pStyle w:val="Compact"/>
            </w:pPr>
            <w:r>
              <w:t>Potassium-free solution (–K)</w:t>
            </w:r>
          </w:p>
        </w:tc>
      </w:tr>
    </w:tbl>
    <w:p w:rsidR="004F661C" w:rsidRDefault="00B27666">
      <w:pPr>
        <w:pStyle w:val="Titre3"/>
      </w:pPr>
      <w:bookmarkStart w:id="10" w:name="growth-conditions"/>
      <w:bookmarkEnd w:id="9"/>
      <w:r>
        <w:t>3.3 Growth Conditions</w:t>
      </w:r>
    </w:p>
    <w:p w:rsidR="004F661C" w:rsidRDefault="00B27666">
      <w:pPr>
        <w:pStyle w:val="Compact"/>
        <w:numPr>
          <w:ilvl w:val="0"/>
          <w:numId w:val="7"/>
        </w:numPr>
      </w:pPr>
      <w:r>
        <w:t>Maintain all seedlings under identical light and temperature conditions.</w:t>
      </w:r>
    </w:p>
    <w:p w:rsidR="004F661C" w:rsidRDefault="00B27666">
      <w:pPr>
        <w:pStyle w:val="Compact"/>
        <w:numPr>
          <w:ilvl w:val="0"/>
          <w:numId w:val="7"/>
        </w:numPr>
      </w:pPr>
      <w:r>
        <w:t>Renew the nutrient solutions every 3–4 days.</w:t>
      </w:r>
    </w:p>
    <w:p w:rsidR="004F661C" w:rsidRDefault="00B27666">
      <w:pPr>
        <w:pStyle w:val="Compact"/>
        <w:numPr>
          <w:ilvl w:val="0"/>
          <w:numId w:val="7"/>
        </w:numPr>
      </w:pPr>
      <w:r>
        <w:t>Ensure that the roots remain in contact with the nutrient solution throughout the experiment.</w:t>
      </w:r>
    </w:p>
    <w:p w:rsidR="004F661C" w:rsidRDefault="00B27666">
      <w:pPr>
        <w:pStyle w:val="Titre3"/>
      </w:pPr>
      <w:bookmarkStart w:id="11" w:name="measurements"/>
      <w:bookmarkEnd w:id="10"/>
      <w:r>
        <w:t>3.4 Measurements</w:t>
      </w:r>
    </w:p>
    <w:p w:rsidR="004F661C" w:rsidRDefault="00B27666">
      <w:pPr>
        <w:pStyle w:val="FirstParagraph"/>
      </w:pPr>
      <w:r>
        <w:t>Record the following parameters once a week for three weeks:</w:t>
      </w:r>
    </w:p>
    <w:p w:rsidR="004F661C" w:rsidRDefault="00B27666">
      <w:pPr>
        <w:pStyle w:val="Compact"/>
        <w:numPr>
          <w:ilvl w:val="0"/>
          <w:numId w:val="8"/>
        </w:numPr>
      </w:pPr>
      <w:r>
        <w:t>Seedling height (cm)</w:t>
      </w:r>
    </w:p>
    <w:p w:rsidR="004F661C" w:rsidRDefault="00B27666">
      <w:pPr>
        <w:pStyle w:val="Compact"/>
        <w:numPr>
          <w:ilvl w:val="0"/>
          <w:numId w:val="8"/>
        </w:numPr>
      </w:pPr>
      <w:r>
        <w:t>Root length (cm)</w:t>
      </w:r>
    </w:p>
    <w:p w:rsidR="004F661C" w:rsidRDefault="00B27666">
      <w:pPr>
        <w:pStyle w:val="Compact"/>
        <w:numPr>
          <w:ilvl w:val="0"/>
          <w:numId w:val="8"/>
        </w:numPr>
      </w:pPr>
      <w:r>
        <w:t>N</w:t>
      </w:r>
      <w:r>
        <w:t>umber of leaves</w:t>
      </w:r>
    </w:p>
    <w:p w:rsidR="004F661C" w:rsidRDefault="00B27666">
      <w:pPr>
        <w:pStyle w:val="Compact"/>
        <w:numPr>
          <w:ilvl w:val="0"/>
          <w:numId w:val="8"/>
        </w:numPr>
      </w:pPr>
      <w:r>
        <w:t>Visual symptoms of nutrient deficiency</w:t>
      </w:r>
    </w:p>
    <w:p w:rsidR="004F661C" w:rsidRDefault="00B27666">
      <w:r>
        <w:pict>
          <v:rect id="_x0000_i1028" style="width:0;height:1.5pt" o:hralign="center" o:hrstd="t" o:hr="t"/>
        </w:pict>
      </w:r>
    </w:p>
    <w:p w:rsidR="004F661C" w:rsidRDefault="00B27666">
      <w:pPr>
        <w:pStyle w:val="Titre2"/>
      </w:pPr>
      <w:bookmarkStart w:id="12" w:name="results"/>
      <w:bookmarkEnd w:id="7"/>
      <w:bookmarkEnd w:id="11"/>
      <w:r>
        <w:t>4. Results</w:t>
      </w:r>
    </w:p>
    <w:p w:rsidR="004F661C" w:rsidRDefault="00B27666">
      <w:pPr>
        <w:pStyle w:val="Titre3"/>
      </w:pPr>
      <w:bookmarkStart w:id="13" w:name="table-1.-average-seedling-height-cm"/>
      <w:r>
        <w:t>Table 1. Average Seedling Height (cm)</w:t>
      </w:r>
    </w:p>
    <w:tbl>
      <w:tblPr>
        <w:tblStyle w:val="Table"/>
        <w:tblW w:w="0" w:type="auto"/>
        <w:tblLook w:val="0020" w:firstRow="1" w:lastRow="0" w:firstColumn="0" w:lastColumn="0" w:noHBand="0" w:noVBand="0"/>
      </w:tblPr>
      <w:tblGrid>
        <w:gridCol w:w="1310"/>
        <w:gridCol w:w="1030"/>
        <w:gridCol w:w="1030"/>
        <w:gridCol w:w="1030"/>
      </w:tblGrid>
      <w:tr w:rsidR="004F661C" w:rsidTr="004F661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:rsidR="004F661C" w:rsidRDefault="00B27666">
            <w:pPr>
              <w:pStyle w:val="Compact"/>
            </w:pPr>
            <w:r>
              <w:t>Treatment</w:t>
            </w:r>
          </w:p>
        </w:tc>
        <w:tc>
          <w:tcPr>
            <w:tcW w:w="0" w:type="auto"/>
          </w:tcPr>
          <w:p w:rsidR="004F661C" w:rsidRDefault="00B27666">
            <w:pPr>
              <w:pStyle w:val="Compact"/>
            </w:pPr>
            <w:r>
              <w:t>Week 1</w:t>
            </w:r>
          </w:p>
        </w:tc>
        <w:tc>
          <w:tcPr>
            <w:tcW w:w="0" w:type="auto"/>
          </w:tcPr>
          <w:p w:rsidR="004F661C" w:rsidRDefault="00B27666">
            <w:pPr>
              <w:pStyle w:val="Compact"/>
            </w:pPr>
            <w:r>
              <w:t>Week 2</w:t>
            </w:r>
          </w:p>
        </w:tc>
        <w:tc>
          <w:tcPr>
            <w:tcW w:w="0" w:type="auto"/>
          </w:tcPr>
          <w:p w:rsidR="004F661C" w:rsidRDefault="00B27666">
            <w:pPr>
              <w:pStyle w:val="Compact"/>
            </w:pPr>
            <w:r>
              <w:t>Week 3</w:t>
            </w:r>
          </w:p>
        </w:tc>
      </w:tr>
      <w:tr w:rsidR="004F661C">
        <w:tc>
          <w:tcPr>
            <w:tcW w:w="0" w:type="auto"/>
          </w:tcPr>
          <w:p w:rsidR="004F661C" w:rsidRDefault="00B27666">
            <w:pPr>
              <w:pStyle w:val="Compact"/>
            </w:pPr>
            <w:r>
              <w:t>Control</w:t>
            </w:r>
          </w:p>
        </w:tc>
        <w:tc>
          <w:tcPr>
            <w:tcW w:w="0" w:type="auto"/>
          </w:tcPr>
          <w:p w:rsidR="004F661C" w:rsidRDefault="00B27666">
            <w:pPr>
              <w:pStyle w:val="Compact"/>
            </w:pPr>
            <w:r>
              <w:t>8.5</w:t>
            </w:r>
          </w:p>
        </w:tc>
        <w:tc>
          <w:tcPr>
            <w:tcW w:w="0" w:type="auto"/>
          </w:tcPr>
          <w:p w:rsidR="004F661C" w:rsidRDefault="00B27666">
            <w:pPr>
              <w:pStyle w:val="Compact"/>
            </w:pPr>
            <w:r>
              <w:t>14.2</w:t>
            </w:r>
          </w:p>
        </w:tc>
        <w:tc>
          <w:tcPr>
            <w:tcW w:w="0" w:type="auto"/>
          </w:tcPr>
          <w:p w:rsidR="004F661C" w:rsidRDefault="00B27666">
            <w:pPr>
              <w:pStyle w:val="Compact"/>
            </w:pPr>
            <w:r>
              <w:t>21.8</w:t>
            </w:r>
          </w:p>
        </w:tc>
      </w:tr>
      <w:tr w:rsidR="004F661C">
        <w:tc>
          <w:tcPr>
            <w:tcW w:w="0" w:type="auto"/>
          </w:tcPr>
          <w:p w:rsidR="004F661C" w:rsidRDefault="00B27666">
            <w:pPr>
              <w:pStyle w:val="Compact"/>
            </w:pPr>
            <w:r>
              <w:t>–N</w:t>
            </w:r>
          </w:p>
        </w:tc>
        <w:tc>
          <w:tcPr>
            <w:tcW w:w="0" w:type="auto"/>
          </w:tcPr>
          <w:p w:rsidR="004F661C" w:rsidRDefault="00B27666">
            <w:pPr>
              <w:pStyle w:val="Compact"/>
            </w:pPr>
            <w:r>
              <w:t>7.9</w:t>
            </w:r>
          </w:p>
        </w:tc>
        <w:tc>
          <w:tcPr>
            <w:tcW w:w="0" w:type="auto"/>
          </w:tcPr>
          <w:p w:rsidR="004F661C" w:rsidRDefault="00B27666">
            <w:pPr>
              <w:pStyle w:val="Compact"/>
            </w:pPr>
            <w:r>
              <w:t>11.3</w:t>
            </w:r>
          </w:p>
        </w:tc>
        <w:tc>
          <w:tcPr>
            <w:tcW w:w="0" w:type="auto"/>
          </w:tcPr>
          <w:p w:rsidR="004F661C" w:rsidRDefault="00B27666">
            <w:pPr>
              <w:pStyle w:val="Compact"/>
            </w:pPr>
            <w:r>
              <w:t>15.4</w:t>
            </w:r>
          </w:p>
        </w:tc>
      </w:tr>
      <w:tr w:rsidR="004F661C">
        <w:tc>
          <w:tcPr>
            <w:tcW w:w="0" w:type="auto"/>
          </w:tcPr>
          <w:p w:rsidR="004F661C" w:rsidRDefault="00B27666">
            <w:pPr>
              <w:pStyle w:val="Compact"/>
            </w:pPr>
            <w:r>
              <w:t>–P</w:t>
            </w:r>
          </w:p>
        </w:tc>
        <w:tc>
          <w:tcPr>
            <w:tcW w:w="0" w:type="auto"/>
          </w:tcPr>
          <w:p w:rsidR="004F661C" w:rsidRDefault="00B27666">
            <w:pPr>
              <w:pStyle w:val="Compact"/>
            </w:pPr>
            <w:r>
              <w:t>8.1</w:t>
            </w:r>
          </w:p>
        </w:tc>
        <w:tc>
          <w:tcPr>
            <w:tcW w:w="0" w:type="auto"/>
          </w:tcPr>
          <w:p w:rsidR="004F661C" w:rsidRDefault="00B27666">
            <w:pPr>
              <w:pStyle w:val="Compact"/>
            </w:pPr>
            <w:r>
              <w:t>12.0</w:t>
            </w:r>
          </w:p>
        </w:tc>
        <w:tc>
          <w:tcPr>
            <w:tcW w:w="0" w:type="auto"/>
          </w:tcPr>
          <w:p w:rsidR="004F661C" w:rsidRDefault="00B27666">
            <w:pPr>
              <w:pStyle w:val="Compact"/>
            </w:pPr>
            <w:r>
              <w:t>17.2</w:t>
            </w:r>
          </w:p>
        </w:tc>
      </w:tr>
      <w:tr w:rsidR="004F661C">
        <w:tc>
          <w:tcPr>
            <w:tcW w:w="0" w:type="auto"/>
          </w:tcPr>
          <w:p w:rsidR="004F661C" w:rsidRDefault="00B27666">
            <w:pPr>
              <w:pStyle w:val="Compact"/>
            </w:pPr>
            <w:r>
              <w:t>–K</w:t>
            </w:r>
          </w:p>
        </w:tc>
        <w:tc>
          <w:tcPr>
            <w:tcW w:w="0" w:type="auto"/>
          </w:tcPr>
          <w:p w:rsidR="004F661C" w:rsidRDefault="00B27666">
            <w:pPr>
              <w:pStyle w:val="Compact"/>
            </w:pPr>
            <w:r>
              <w:t>8.0</w:t>
            </w:r>
          </w:p>
        </w:tc>
        <w:tc>
          <w:tcPr>
            <w:tcW w:w="0" w:type="auto"/>
          </w:tcPr>
          <w:p w:rsidR="004F661C" w:rsidRDefault="00B27666">
            <w:pPr>
              <w:pStyle w:val="Compact"/>
            </w:pPr>
            <w:r>
              <w:t>12.5</w:t>
            </w:r>
          </w:p>
        </w:tc>
        <w:tc>
          <w:tcPr>
            <w:tcW w:w="0" w:type="auto"/>
          </w:tcPr>
          <w:p w:rsidR="004F661C" w:rsidRDefault="00B27666">
            <w:pPr>
              <w:pStyle w:val="Compact"/>
            </w:pPr>
            <w:r>
              <w:t>18.0</w:t>
            </w:r>
          </w:p>
        </w:tc>
      </w:tr>
    </w:tbl>
    <w:p w:rsidR="004F661C" w:rsidRDefault="00B27666">
      <w:pPr>
        <w:pStyle w:val="Titre3"/>
      </w:pPr>
      <w:bookmarkStart w:id="14" w:name="table-2.-qualitative-observations"/>
      <w:bookmarkEnd w:id="13"/>
      <w:r>
        <w:t>Table 2. Qualitative Observations</w:t>
      </w:r>
    </w:p>
    <w:tbl>
      <w:tblPr>
        <w:tblStyle w:val="Table"/>
        <w:tblW w:w="0" w:type="auto"/>
        <w:tblLook w:val="0020" w:firstRow="1" w:lastRow="0" w:firstColumn="0" w:lastColumn="0" w:noHBand="0" w:noVBand="0"/>
      </w:tblPr>
      <w:tblGrid>
        <w:gridCol w:w="1310"/>
        <w:gridCol w:w="2577"/>
        <w:gridCol w:w="1564"/>
        <w:gridCol w:w="2844"/>
      </w:tblGrid>
      <w:tr w:rsidR="004F661C" w:rsidTr="004F661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:rsidR="004F661C" w:rsidRDefault="00B27666">
            <w:pPr>
              <w:pStyle w:val="Compact"/>
            </w:pPr>
            <w:r>
              <w:t>Treatment</w:t>
            </w:r>
          </w:p>
        </w:tc>
        <w:tc>
          <w:tcPr>
            <w:tcW w:w="0" w:type="auto"/>
          </w:tcPr>
          <w:p w:rsidR="004F661C" w:rsidRDefault="00B27666">
            <w:pPr>
              <w:pStyle w:val="Compact"/>
            </w:pPr>
            <w:r>
              <w:t>Leaf Color</w:t>
            </w:r>
          </w:p>
        </w:tc>
        <w:tc>
          <w:tcPr>
            <w:tcW w:w="0" w:type="auto"/>
          </w:tcPr>
          <w:p w:rsidR="004F661C" w:rsidRDefault="00B27666">
            <w:pPr>
              <w:pStyle w:val="Compact"/>
            </w:pPr>
            <w:r>
              <w:t>Growth Rate</w:t>
            </w:r>
          </w:p>
        </w:tc>
        <w:tc>
          <w:tcPr>
            <w:tcW w:w="0" w:type="auto"/>
          </w:tcPr>
          <w:p w:rsidR="004F661C" w:rsidRDefault="00B27666">
            <w:pPr>
              <w:pStyle w:val="Compact"/>
            </w:pPr>
            <w:r>
              <w:t>Deficiency Symptoms</w:t>
            </w:r>
          </w:p>
        </w:tc>
      </w:tr>
      <w:tr w:rsidR="004F661C">
        <w:tc>
          <w:tcPr>
            <w:tcW w:w="0" w:type="auto"/>
          </w:tcPr>
          <w:p w:rsidR="004F661C" w:rsidRDefault="00B27666">
            <w:pPr>
              <w:pStyle w:val="Compact"/>
            </w:pPr>
            <w:r>
              <w:t>Control</w:t>
            </w:r>
          </w:p>
        </w:tc>
        <w:tc>
          <w:tcPr>
            <w:tcW w:w="0" w:type="auto"/>
          </w:tcPr>
          <w:p w:rsidR="004F661C" w:rsidRDefault="00B27666">
            <w:pPr>
              <w:pStyle w:val="Compact"/>
            </w:pPr>
            <w:r>
              <w:t>Green</w:t>
            </w:r>
          </w:p>
        </w:tc>
        <w:tc>
          <w:tcPr>
            <w:tcW w:w="0" w:type="auto"/>
          </w:tcPr>
          <w:p w:rsidR="004F661C" w:rsidRDefault="00B27666">
            <w:pPr>
              <w:pStyle w:val="Compact"/>
            </w:pPr>
            <w:r>
              <w:t>High</w:t>
            </w:r>
          </w:p>
        </w:tc>
        <w:tc>
          <w:tcPr>
            <w:tcW w:w="0" w:type="auto"/>
          </w:tcPr>
          <w:p w:rsidR="004F661C" w:rsidRDefault="00B27666">
            <w:pPr>
              <w:pStyle w:val="Compact"/>
            </w:pPr>
            <w:r>
              <w:t>Normal growth</w:t>
            </w:r>
          </w:p>
        </w:tc>
      </w:tr>
      <w:tr w:rsidR="004F661C">
        <w:tc>
          <w:tcPr>
            <w:tcW w:w="0" w:type="auto"/>
          </w:tcPr>
          <w:p w:rsidR="004F661C" w:rsidRDefault="00B27666">
            <w:pPr>
              <w:pStyle w:val="Compact"/>
            </w:pPr>
            <w:r>
              <w:t>–N</w:t>
            </w:r>
          </w:p>
        </w:tc>
        <w:tc>
          <w:tcPr>
            <w:tcW w:w="0" w:type="auto"/>
          </w:tcPr>
          <w:p w:rsidR="004F661C" w:rsidRDefault="00B27666">
            <w:pPr>
              <w:pStyle w:val="Compact"/>
            </w:pPr>
            <w:r>
              <w:t>Yellowish</w:t>
            </w:r>
          </w:p>
        </w:tc>
        <w:tc>
          <w:tcPr>
            <w:tcW w:w="0" w:type="auto"/>
          </w:tcPr>
          <w:p w:rsidR="004F661C" w:rsidRDefault="00B27666">
            <w:pPr>
              <w:pStyle w:val="Compact"/>
            </w:pPr>
            <w:r>
              <w:t>Low</w:t>
            </w:r>
          </w:p>
        </w:tc>
        <w:tc>
          <w:tcPr>
            <w:tcW w:w="0" w:type="auto"/>
          </w:tcPr>
          <w:p w:rsidR="004F661C" w:rsidRDefault="00B27666">
            <w:pPr>
              <w:pStyle w:val="Compact"/>
            </w:pPr>
            <w:r>
              <w:t>Chlorosis of older leaves</w:t>
            </w:r>
          </w:p>
        </w:tc>
      </w:tr>
      <w:tr w:rsidR="004F661C">
        <w:tc>
          <w:tcPr>
            <w:tcW w:w="0" w:type="auto"/>
          </w:tcPr>
          <w:p w:rsidR="004F661C" w:rsidRDefault="00B27666">
            <w:pPr>
              <w:pStyle w:val="Compact"/>
            </w:pPr>
            <w:r>
              <w:t>–P</w:t>
            </w:r>
          </w:p>
        </w:tc>
        <w:tc>
          <w:tcPr>
            <w:tcW w:w="0" w:type="auto"/>
          </w:tcPr>
          <w:p w:rsidR="004F661C" w:rsidRDefault="00B27666">
            <w:pPr>
              <w:pStyle w:val="Compact"/>
            </w:pPr>
            <w:r>
              <w:t>Dark green</w:t>
            </w:r>
          </w:p>
        </w:tc>
        <w:tc>
          <w:tcPr>
            <w:tcW w:w="0" w:type="auto"/>
          </w:tcPr>
          <w:p w:rsidR="004F661C" w:rsidRDefault="00B27666">
            <w:pPr>
              <w:pStyle w:val="Compact"/>
            </w:pPr>
            <w:r>
              <w:t>Moderate</w:t>
            </w:r>
          </w:p>
        </w:tc>
        <w:tc>
          <w:tcPr>
            <w:tcW w:w="0" w:type="auto"/>
          </w:tcPr>
          <w:p w:rsidR="004F661C" w:rsidRDefault="00B27666">
            <w:pPr>
              <w:pStyle w:val="Compact"/>
            </w:pPr>
            <w:r>
              <w:t>Reduced growth</w:t>
            </w:r>
          </w:p>
        </w:tc>
      </w:tr>
      <w:tr w:rsidR="004F661C">
        <w:tc>
          <w:tcPr>
            <w:tcW w:w="0" w:type="auto"/>
          </w:tcPr>
          <w:p w:rsidR="004F661C" w:rsidRDefault="00B27666">
            <w:pPr>
              <w:pStyle w:val="Compact"/>
            </w:pPr>
            <w:r>
              <w:lastRenderedPageBreak/>
              <w:t>–K</w:t>
            </w:r>
          </w:p>
        </w:tc>
        <w:tc>
          <w:tcPr>
            <w:tcW w:w="0" w:type="auto"/>
          </w:tcPr>
          <w:p w:rsidR="004F661C" w:rsidRDefault="00B27666">
            <w:pPr>
              <w:pStyle w:val="Compact"/>
            </w:pPr>
            <w:r>
              <w:t>Yellow-brown margins</w:t>
            </w:r>
          </w:p>
        </w:tc>
        <w:tc>
          <w:tcPr>
            <w:tcW w:w="0" w:type="auto"/>
          </w:tcPr>
          <w:p w:rsidR="004F661C" w:rsidRDefault="00B27666">
            <w:pPr>
              <w:pStyle w:val="Compact"/>
            </w:pPr>
            <w:r>
              <w:t>Moderate</w:t>
            </w:r>
          </w:p>
        </w:tc>
        <w:tc>
          <w:tcPr>
            <w:tcW w:w="0" w:type="auto"/>
          </w:tcPr>
          <w:p w:rsidR="004F661C" w:rsidRDefault="00B27666">
            <w:pPr>
              <w:pStyle w:val="Compact"/>
            </w:pPr>
            <w:r>
              <w:t>Necrotic leaf margins</w:t>
            </w:r>
          </w:p>
        </w:tc>
      </w:tr>
    </w:tbl>
    <w:p w:rsidR="004F661C" w:rsidRDefault="00B27666">
      <w:r>
        <w:pict>
          <v:rect id="_x0000_i1029" style="width:0;height:1.5pt" o:hralign="center" o:hrstd="t" o:hr="t"/>
        </w:pict>
      </w:r>
    </w:p>
    <w:p w:rsidR="004F661C" w:rsidRDefault="00B27666">
      <w:pPr>
        <w:pStyle w:val="Titre2"/>
      </w:pPr>
      <w:bookmarkStart w:id="15" w:name="data-analysis"/>
      <w:bookmarkEnd w:id="12"/>
      <w:bookmarkEnd w:id="14"/>
      <w:r>
        <w:t>5. Data Analysis</w:t>
      </w:r>
    </w:p>
    <w:p w:rsidR="004F661C" w:rsidRDefault="00B27666">
      <w:pPr>
        <w:pStyle w:val="Compact"/>
        <w:numPr>
          <w:ilvl w:val="0"/>
          <w:numId w:val="9"/>
        </w:numPr>
      </w:pPr>
      <w:r>
        <w:t>Plot a graph showing seedling height versus time for each treatment.</w:t>
      </w:r>
    </w:p>
    <w:p w:rsidR="004F661C" w:rsidRDefault="00B27666">
      <w:pPr>
        <w:pStyle w:val="Compact"/>
        <w:numPr>
          <w:ilvl w:val="0"/>
          <w:numId w:val="9"/>
        </w:numPr>
      </w:pPr>
      <w:r>
        <w:t>Compare the growth rates obtained under different nutrient conditions.</w:t>
      </w:r>
    </w:p>
    <w:p w:rsidR="004F661C" w:rsidRDefault="00B27666">
      <w:pPr>
        <w:pStyle w:val="Compact"/>
        <w:numPr>
          <w:ilvl w:val="0"/>
          <w:numId w:val="9"/>
        </w:numPr>
      </w:pPr>
      <w:r>
        <w:t>Identify the characteristic symptoms associated with each nutrient deficiency.</w:t>
      </w:r>
    </w:p>
    <w:p w:rsidR="004F661C" w:rsidRDefault="00B27666">
      <w:pPr>
        <w:pStyle w:val="Compact"/>
        <w:numPr>
          <w:ilvl w:val="0"/>
          <w:numId w:val="9"/>
        </w:numPr>
      </w:pPr>
      <w:r>
        <w:t>Explain how nutrient deficiencies aff</w:t>
      </w:r>
      <w:r>
        <w:t>ect plant growth and development.</w:t>
      </w:r>
    </w:p>
    <w:p w:rsidR="004F661C" w:rsidRDefault="00B27666">
      <w:r>
        <w:pict>
          <v:rect id="_x0000_i1030" style="width:0;height:1.5pt" o:hralign="center" o:hrstd="t" o:hr="t"/>
        </w:pict>
      </w:r>
    </w:p>
    <w:p w:rsidR="004F661C" w:rsidRDefault="00A3384B" w:rsidP="00A3384B">
      <w:pPr>
        <w:pStyle w:val="Titre2"/>
      </w:pPr>
      <w:bookmarkStart w:id="16" w:name="conclusion"/>
      <w:bookmarkEnd w:id="15"/>
      <w:r>
        <w:t>6</w:t>
      </w:r>
      <w:r w:rsidR="00B27666">
        <w:t>. Conclusion</w:t>
      </w:r>
    </w:p>
    <w:p w:rsidR="004F661C" w:rsidRDefault="00B27666">
      <w:pPr>
        <w:pStyle w:val="FirstParagraph"/>
      </w:pPr>
      <w:r>
        <w:t>T</w:t>
      </w:r>
      <w:r>
        <w:t>he experiment demonstrates that the growth of broad bean seedlings is highly dependent on nutrient availability. Deficiencies in nitrogen, phosphorus, and potassiu</w:t>
      </w:r>
      <w:r>
        <w:t>m reduce growth and produce characteristic symptoms. Therefore, adequate mineral nutrition is essential for optimal plant development.</w:t>
      </w:r>
    </w:p>
    <w:p w:rsidR="004F661C" w:rsidRDefault="004F661C">
      <w:pPr>
        <w:pStyle w:val="Corpsdetexte"/>
      </w:pPr>
      <w:bookmarkStart w:id="17" w:name="references"/>
      <w:bookmarkEnd w:id="0"/>
      <w:bookmarkEnd w:id="16"/>
      <w:bookmarkEnd w:id="17"/>
    </w:p>
    <w:sectPr w:rsidR="004F661C">
      <w:footnotePr>
        <w:numRestart w:val="eachSect"/>
      </w:footnotePr>
      <w:pgSz w:w="12240" w:h="15840"/>
      <w:pgMar w:top="1417" w:right="1417" w:bottom="1417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A990"/>
    <w:multiLevelType w:val="multilevel"/>
    <w:tmpl w:val="0FE65462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A63CC9B6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0A99411"/>
    <w:multiLevelType w:val="multilevel"/>
    <w:tmpl w:val="D66A51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0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61C"/>
    <w:rsid w:val="004F661C"/>
    <w:rsid w:val="00A3384B"/>
    <w:rsid w:val="00B27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D9BDBB-5C4D-4F28-89C7-18F191AFF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1"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Corpsdetexte"/>
    <w:link w:val="Titre1C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Corpsdetexte"/>
    <w:link w:val="Titre2Car"/>
    <w:uiPriority w:val="9"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Corpsdetexte"/>
    <w:link w:val="Titre3C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Corpsdetexte"/>
    <w:link w:val="Titre4C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Corpsdetexte"/>
    <w:link w:val="Titre5C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Corpsdetexte"/>
    <w:link w:val="Titre6C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Corpsdetexte"/>
    <w:link w:val="Titre7C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Corpsdetexte"/>
    <w:link w:val="Titre8C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Corpsdetexte"/>
    <w:link w:val="Titre9C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Corpsdetexte"/>
    <w:next w:val="Corpsdetexte"/>
    <w:qFormat/>
  </w:style>
  <w:style w:type="paragraph" w:customStyle="1" w:styleId="Compact">
    <w:name w:val="Compact"/>
    <w:basedOn w:val="Corpsdetexte"/>
    <w:qFormat/>
    <w:pPr>
      <w:spacing w:before="36" w:after="36"/>
    </w:pPr>
  </w:style>
  <w:style w:type="paragraph" w:styleId="Titre">
    <w:name w:val="Title"/>
    <w:basedOn w:val="Normal"/>
    <w:next w:val="Corpsdetexte"/>
    <w:link w:val="TitreC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Titre"/>
    <w:next w:val="Corpsdetexte"/>
    <w:link w:val="Sous-titreC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Corpsdetexte"/>
    <w:qFormat/>
    <w:pPr>
      <w:keepNext/>
      <w:keepLines/>
      <w:jc w:val="center"/>
    </w:pPr>
  </w:style>
  <w:style w:type="paragraph" w:styleId="Date">
    <w:name w:val="Date"/>
    <w:next w:val="Corpsdetexte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Corpsdetexte"/>
    <w:qFormat/>
    <w:pPr>
      <w:keepNext/>
      <w:keepLines/>
      <w:spacing w:before="100" w:after="300"/>
    </w:pPr>
    <w:rPr>
      <w:sz w:val="20"/>
      <w:szCs w:val="20"/>
    </w:rPr>
  </w:style>
  <w:style w:type="paragraph" w:styleId="Bibliographie">
    <w:name w:val="Bibliography"/>
    <w:basedOn w:val="Normal"/>
    <w:qFormat/>
  </w:style>
  <w:style w:type="character" w:customStyle="1" w:styleId="Titre1Car">
    <w:name w:val="Titre 1 Car"/>
    <w:basedOn w:val="Policepardfaut"/>
    <w:link w:val="Titre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Normalcentr">
    <w:name w:val="Block Text"/>
    <w:basedOn w:val="Corpsdetexte"/>
    <w:next w:val="Corpsdetexte"/>
    <w:uiPriority w:val="9"/>
    <w:unhideWhenUsed/>
    <w:qFormat/>
    <w:pPr>
      <w:spacing w:before="100" w:after="100"/>
      <w:ind w:left="480" w:right="480"/>
    </w:pPr>
  </w:style>
  <w:style w:type="paragraph" w:styleId="Notedebasdepage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Notedebasdepage"/>
    <w:next w:val="Notedebasdepage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Lgende">
    <w:name w:val="caption"/>
    <w:basedOn w:val="Normal"/>
    <w:link w:val="LgendeCar"/>
    <w:pPr>
      <w:spacing w:after="120"/>
    </w:pPr>
    <w:rPr>
      <w:i/>
    </w:rPr>
  </w:style>
  <w:style w:type="paragraph" w:customStyle="1" w:styleId="TableCaption">
    <w:name w:val="Table Caption"/>
    <w:basedOn w:val="Lgende"/>
    <w:pPr>
      <w:keepNext/>
    </w:pPr>
  </w:style>
  <w:style w:type="paragraph" w:customStyle="1" w:styleId="ImageCaption">
    <w:name w:val="Image Caption"/>
    <w:basedOn w:val="Lgende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LgendeCar">
    <w:name w:val="Légende Car"/>
    <w:basedOn w:val="Policepardfaut"/>
    <w:link w:val="Lgende"/>
  </w:style>
  <w:style w:type="character" w:customStyle="1" w:styleId="VerbatimChar">
    <w:name w:val="Verbatim Char"/>
    <w:basedOn w:val="LgendeC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LgendeCar"/>
  </w:style>
  <w:style w:type="character" w:styleId="Appelnotedebasdep">
    <w:name w:val="footnote reference"/>
    <w:basedOn w:val="LgendeCar"/>
    <w:rPr>
      <w:vertAlign w:val="superscript"/>
    </w:rPr>
  </w:style>
  <w:style w:type="character" w:styleId="Lienhypertexte">
    <w:name w:val="Hyperlink"/>
    <w:basedOn w:val="LgendeCar"/>
    <w:rPr>
      <w:color w:val="156082" w:themeColor="accent1"/>
    </w:rPr>
  </w:style>
  <w:style w:type="paragraph" w:styleId="En-ttedetabledesmatires">
    <w:name w:val="TOC Heading"/>
    <w:basedOn w:val="Titre1"/>
    <w:next w:val="Corpsdetexte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431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dell</dc:creator>
  <cp:keywords/>
  <cp:lastModifiedBy>dell</cp:lastModifiedBy>
  <cp:revision>2</cp:revision>
  <dcterms:created xsi:type="dcterms:W3CDTF">2026-06-19T11:12:00Z</dcterms:created>
  <dcterms:modified xsi:type="dcterms:W3CDTF">2026-06-19T11:12:00Z</dcterms:modified>
</cp:coreProperties>
</file>