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71D" w:rsidRPr="00F8071D" w:rsidRDefault="00F8071D" w:rsidP="00F8071D">
      <w:pPr>
        <w:bidi/>
        <w:rPr>
          <w:b/>
          <w:bCs/>
        </w:rPr>
      </w:pPr>
      <w:r w:rsidRPr="00F8071D">
        <w:rPr>
          <w:b/>
          <w:bCs/>
          <w:rtl/>
        </w:rPr>
        <w:t>تاريخ الفكر الاجتماعي في العصور الوسطى وعصر النهضة</w:t>
      </w:r>
    </w:p>
    <w:p w:rsidR="00F8071D" w:rsidRPr="00F8071D" w:rsidRDefault="00F8071D" w:rsidP="00F8071D">
      <w:pPr>
        <w:bidi/>
        <w:rPr>
          <w:b/>
          <w:bCs/>
        </w:rPr>
      </w:pPr>
      <w:r w:rsidRPr="00F8071D">
        <w:rPr>
          <w:b/>
          <w:bCs/>
          <w:rtl/>
        </w:rPr>
        <w:t>مقدمة</w:t>
      </w:r>
    </w:p>
    <w:p w:rsidR="00F8071D" w:rsidRPr="00F8071D" w:rsidRDefault="00F8071D" w:rsidP="00F8071D">
      <w:pPr>
        <w:bidi/>
      </w:pPr>
      <w:r w:rsidRPr="00F8071D">
        <w:rPr>
          <w:rtl/>
        </w:rPr>
        <w:t>يُعدّ الفكر الاجتماعي أحد أهم المداخل لفهم تطور المجتمعات الإنسانية وتحولاتها عبر التاريخ، إذ يعكس تصورات الإنسان لذاته ولمكانته داخل الجماعة، ولطبيعة السلطة والعلاقات الاجتماعية. ويكتسي البحث في تاريخ الفكر الاجتماعي خلال العصور الوسطى وعصر النهضة أهمية خاصة، لكون هاتين المرحلتين تمثلان نقطتين مفصليتين في تاريخ أوروبا، حيث انتقلت المجتمعات من هيمنة الفكر اللاهوتي والكنسي إلى بروز العقلانية والإنسانية وبدايات الحداثة</w:t>
      </w:r>
      <w:r w:rsidRPr="00F8071D">
        <w:t>.</w:t>
      </w:r>
    </w:p>
    <w:p w:rsidR="00F8071D" w:rsidRPr="00F8071D" w:rsidRDefault="00F8071D" w:rsidP="00F8071D">
      <w:pPr>
        <w:bidi/>
      </w:pPr>
      <w:r w:rsidRPr="00F8071D">
        <w:rPr>
          <w:rtl/>
        </w:rPr>
        <w:t>يهدف هذا البحث إلى تتبع تطور الفكر الاجتماعي في أوروبا خلال العصور الوسطى، مع التركيز على دور المسيحية والكنيسة، ثم إبراز التحولات الفكرية والاجتماعية التي رافقت عصر النهضة، وما نتج عنها من تغير في نظرة الإنسان إلى نفسه وإلى المجتمع والعلم</w:t>
      </w:r>
      <w:r w:rsidRPr="00F8071D">
        <w:t>.</w:t>
      </w:r>
    </w:p>
    <w:p w:rsidR="00F8071D" w:rsidRPr="00F8071D" w:rsidRDefault="00F8071D" w:rsidP="00F8071D">
      <w:pPr>
        <w:bidi/>
      </w:pPr>
      <w:r w:rsidRPr="00F8071D">
        <w:pict>
          <v:rect id="_x0000_i1025" style="width:0;height:1.5pt" o:hralign="center" o:hrstd="t" o:hr="t" fillcolor="#a0a0a0" stroked="f"/>
        </w:pict>
      </w:r>
    </w:p>
    <w:p w:rsidR="00F8071D" w:rsidRPr="00F8071D" w:rsidRDefault="00F8071D" w:rsidP="00F8071D">
      <w:pPr>
        <w:bidi/>
        <w:rPr>
          <w:b/>
          <w:bCs/>
        </w:rPr>
      </w:pPr>
      <w:r w:rsidRPr="00F8071D">
        <w:rPr>
          <w:b/>
          <w:bCs/>
          <w:rtl/>
        </w:rPr>
        <w:t>أولًا: الإطار الزمني للعصور الوسطى وإشكالية التحديد</w:t>
      </w:r>
    </w:p>
    <w:p w:rsidR="00F8071D" w:rsidRPr="00F8071D" w:rsidRDefault="00F8071D" w:rsidP="00F8071D">
      <w:pPr>
        <w:bidi/>
      </w:pPr>
      <w:r w:rsidRPr="00F8071D">
        <w:rPr>
          <w:rtl/>
        </w:rPr>
        <w:t>يثير تحديد بداية ونهاية العصور الوسطى جدلًا واسعًا في الدراسات التاريخية. فغالبية المؤرخين يحددون سنة 476م، تاريخ سقوط الإمبراطورية الرومانية الغربية، كبداية للعصور الوسطى في أوروبا. أما نهايتها، فقد تعددت الآراء بشأنها؛ إذ يرى بعض الباحثين أن حركات الإصلاح الديني التي انطلقت منذ القرن الرابع عشر تمثل بداية نهاية العصور الوسطى، بينما يربط آخرون نهايتها بسنة 1453م، التي شهدت سقوط القسطنطينية بيد العثمانيين ونهاية حرب المئة عام بين إنجلترا وفرنسا</w:t>
      </w:r>
      <w:r w:rsidRPr="00F8071D">
        <w:t>.</w:t>
      </w:r>
    </w:p>
    <w:p w:rsidR="00F8071D" w:rsidRPr="00F8071D" w:rsidRDefault="00F8071D" w:rsidP="00F8071D">
      <w:pPr>
        <w:bidi/>
      </w:pPr>
      <w:r w:rsidRPr="00F8071D">
        <w:rPr>
          <w:rtl/>
        </w:rPr>
        <w:t>ورغم هذا التباين، فإن الرأي الغالب يعتبر العصور الوسطى مرحلة ممتدة تقريبًا من القرن الخامس إلى القرن الخامس عشر الميلادي، تميزت بهيمنة الفكر الديني والسلطة الكنسية على مختلف مناحي الحياة</w:t>
      </w:r>
      <w:r w:rsidRPr="00F8071D">
        <w:t>.</w:t>
      </w:r>
    </w:p>
    <w:p w:rsidR="00F8071D" w:rsidRPr="00F8071D" w:rsidRDefault="00F8071D" w:rsidP="00F8071D">
      <w:pPr>
        <w:bidi/>
      </w:pPr>
      <w:r w:rsidRPr="00F8071D">
        <w:pict>
          <v:rect id="_x0000_i1026" style="width:0;height:1.5pt" o:hralign="center" o:hrstd="t" o:hr="t" fillcolor="#a0a0a0" stroked="f"/>
        </w:pict>
      </w:r>
    </w:p>
    <w:p w:rsidR="00F8071D" w:rsidRPr="00F8071D" w:rsidRDefault="00F8071D" w:rsidP="00F8071D">
      <w:pPr>
        <w:bidi/>
        <w:rPr>
          <w:b/>
          <w:bCs/>
        </w:rPr>
      </w:pPr>
      <w:r w:rsidRPr="00F8071D">
        <w:rPr>
          <w:b/>
          <w:bCs/>
          <w:rtl/>
        </w:rPr>
        <w:t>ثانيًا: ظهور المسيحية وأثرها الاجتماعي في الإمبراطورية الرومانية</w:t>
      </w:r>
    </w:p>
    <w:p w:rsidR="00F8071D" w:rsidRPr="00F8071D" w:rsidRDefault="00F8071D" w:rsidP="00F8071D">
      <w:pPr>
        <w:bidi/>
      </w:pPr>
      <w:r w:rsidRPr="00F8071D">
        <w:rPr>
          <w:rtl/>
        </w:rPr>
        <w:t>شكّل ظهور الديانة المسيحية أحد أهم التحولات الفكرية والاجتماعية في أواخر العهد الروماني. فقد حملت المسيحية مبادئ جديدة تقوم على المساواة بين البشر، والاعتراف بقيمة الفرد، والدعوة إلى العدالة الروحية، وهو ما جعلها تلقى قبولًا واسعًا لدى الطبقات الدنيا والمستضعفة في المجتمع الروماني</w:t>
      </w:r>
      <w:r w:rsidRPr="00F8071D">
        <w:t>.</w:t>
      </w:r>
    </w:p>
    <w:p w:rsidR="00F8071D" w:rsidRPr="00F8071D" w:rsidRDefault="00F8071D" w:rsidP="00F8071D">
      <w:pPr>
        <w:bidi/>
      </w:pPr>
      <w:r w:rsidRPr="00F8071D">
        <w:rPr>
          <w:rtl/>
        </w:rPr>
        <w:t>غير أن نظام الحكم الروماني، القائم على التراتبية الاجتماعية والعبودية، نظر إلى هذه التعاليم بوصفها تهديدًا للنظام القائم، فتعرض المسيحيون الأوائل إلى الاضطهاد واضطروا إلى ممارسة شعائرهم سرًا. ومع ذلك، ساعدت عوامل عدة على انتشار المسيحية في الغرب، مثل وحدة اللغة اللاتينية، وسهولة الاتصال، وفترات السلم النسبي التي عرفتها بعض الأقاليم</w:t>
      </w:r>
      <w:r w:rsidRPr="00F8071D">
        <w:t>.</w:t>
      </w:r>
    </w:p>
    <w:p w:rsidR="00F8071D" w:rsidRPr="00F8071D" w:rsidRDefault="00F8071D" w:rsidP="00F8071D">
      <w:pPr>
        <w:bidi/>
      </w:pPr>
      <w:r w:rsidRPr="00F8071D">
        <w:pict>
          <v:rect id="_x0000_i1027" style="width:0;height:1.5pt" o:hralign="center" o:hrstd="t" o:hr="t" fillcolor="#a0a0a0" stroked="f"/>
        </w:pict>
      </w:r>
    </w:p>
    <w:p w:rsidR="00F8071D" w:rsidRPr="00F8071D" w:rsidRDefault="00F8071D" w:rsidP="00F8071D">
      <w:pPr>
        <w:bidi/>
        <w:rPr>
          <w:b/>
          <w:bCs/>
        </w:rPr>
      </w:pPr>
      <w:r w:rsidRPr="00F8071D">
        <w:rPr>
          <w:b/>
          <w:bCs/>
          <w:rtl/>
        </w:rPr>
        <w:t>ثالثًا: من الاضطهاد إلى الاعتراف الرسمي وصعود الكنيسة</w:t>
      </w:r>
    </w:p>
    <w:p w:rsidR="00F8071D" w:rsidRPr="00F8071D" w:rsidRDefault="00F8071D" w:rsidP="00F8071D">
      <w:pPr>
        <w:bidi/>
      </w:pPr>
      <w:r w:rsidRPr="00F8071D">
        <w:rPr>
          <w:rtl/>
        </w:rPr>
        <w:t>شهد القرن الرابع الميلادي تحولًا حاسمًا عندما اعترف الإمبراطور قسطنطين بالمسيحية، مما سمح لها بالانتشار في مختلف طبقات المجتمع، والاعتماد على دعم الدولة. ومع سقوط الإمبراطورية الرومانية الغربية، برزت الكنيسة كقوة روحية وسياسية ملأت الفراغ الذي خلّفه ضعف السلطة المركزية</w:t>
      </w:r>
      <w:r w:rsidRPr="00F8071D">
        <w:t>.</w:t>
      </w:r>
    </w:p>
    <w:p w:rsidR="00F8071D" w:rsidRPr="00F8071D" w:rsidRDefault="00F8071D" w:rsidP="00F8071D">
      <w:pPr>
        <w:bidi/>
      </w:pPr>
      <w:r w:rsidRPr="00F8071D">
        <w:rPr>
          <w:rtl/>
        </w:rPr>
        <w:t>أدى هذا الوضع إلى صعود مكانة البابوية، وسيطرة الكنيسة على التعليم والمؤسسات الثقافية، حيث أصبحت المدارس والجامعات خاضعة لتعاليمها، وتحولت المعرفة إلى أداة لتكريس الطاعة والامتثال بدل البحث الحر</w:t>
      </w:r>
      <w:r w:rsidRPr="00F8071D">
        <w:t>.</w:t>
      </w:r>
    </w:p>
    <w:p w:rsidR="00F8071D" w:rsidRPr="00F8071D" w:rsidRDefault="00F8071D" w:rsidP="00F8071D">
      <w:pPr>
        <w:bidi/>
      </w:pPr>
      <w:r w:rsidRPr="00F8071D">
        <w:pict>
          <v:rect id="_x0000_i1028" style="width:0;height:1.5pt" o:hralign="center" o:hrstd="t" o:hr="t" fillcolor="#a0a0a0" stroked="f"/>
        </w:pict>
      </w:r>
    </w:p>
    <w:p w:rsidR="00F8071D" w:rsidRPr="00F8071D" w:rsidRDefault="00F8071D" w:rsidP="00F8071D">
      <w:pPr>
        <w:bidi/>
        <w:rPr>
          <w:b/>
          <w:bCs/>
        </w:rPr>
      </w:pPr>
      <w:r w:rsidRPr="00F8071D">
        <w:rPr>
          <w:b/>
          <w:bCs/>
          <w:rtl/>
        </w:rPr>
        <w:t>رابعًا: هيمنة الكنيسة وجمود الفكر الاجتماعي</w:t>
      </w:r>
    </w:p>
    <w:p w:rsidR="00F8071D" w:rsidRPr="00F8071D" w:rsidRDefault="00F8071D" w:rsidP="00F8071D">
      <w:pPr>
        <w:bidi/>
      </w:pPr>
      <w:r w:rsidRPr="00F8071D">
        <w:rPr>
          <w:rtl/>
        </w:rPr>
        <w:t>خلال العصور الوسطى، فرضت الكنيسة رقابة صارمة على الفكر والعلم، واعتبرت نفسها المصدر الوحيد للحقيقة والمعرفة. وأُدينت كل الآراء التي خالفت تعاليمها، حتى وإن كانت قائمة على العقل أو الملاحظة العلمية. وقد أدى ذلك إلى شيوع أفكار خاطئة، مثل مركزية الأرض، وتفسير الظواهر الطبيعية والأمراض بتفسيرات غيبية</w:t>
      </w:r>
      <w:r w:rsidRPr="00F8071D">
        <w:t>.</w:t>
      </w:r>
    </w:p>
    <w:p w:rsidR="00F8071D" w:rsidRPr="00F8071D" w:rsidRDefault="00F8071D" w:rsidP="00F8071D">
      <w:pPr>
        <w:bidi/>
      </w:pPr>
      <w:r w:rsidRPr="00F8071D">
        <w:rPr>
          <w:rtl/>
        </w:rPr>
        <w:lastRenderedPageBreak/>
        <w:t>كما تعرض المفكرون والعلماء الذين حاولوا الخروج عن الإطار الكنسي إلى الاضطهاد والعقاب، وهو ما جعل هذه المرحلة تُوصَف في كثير من الدراسات بمرحلة الجمود الفكري والركود العلمي</w:t>
      </w:r>
      <w:r w:rsidRPr="00F8071D">
        <w:t>.</w:t>
      </w:r>
    </w:p>
    <w:p w:rsidR="00F8071D" w:rsidRPr="00F8071D" w:rsidRDefault="00F8071D" w:rsidP="00F8071D">
      <w:pPr>
        <w:bidi/>
      </w:pPr>
      <w:r w:rsidRPr="00F8071D">
        <w:pict>
          <v:rect id="_x0000_i1029" style="width:0;height:1.5pt" o:hralign="center" o:hrstd="t" o:hr="t" fillcolor="#a0a0a0" stroked="f"/>
        </w:pict>
      </w:r>
    </w:p>
    <w:p w:rsidR="00F8071D" w:rsidRPr="00F8071D" w:rsidRDefault="00F8071D" w:rsidP="00F8071D">
      <w:pPr>
        <w:bidi/>
        <w:rPr>
          <w:b/>
          <w:bCs/>
        </w:rPr>
      </w:pPr>
      <w:r w:rsidRPr="00F8071D">
        <w:rPr>
          <w:b/>
          <w:bCs/>
          <w:rtl/>
        </w:rPr>
        <w:t>خامسًا: بوادر النقد وحركات الإصلاح الديني</w:t>
      </w:r>
    </w:p>
    <w:p w:rsidR="00F8071D" w:rsidRPr="00F8071D" w:rsidRDefault="00F8071D" w:rsidP="00F8071D">
      <w:pPr>
        <w:bidi/>
      </w:pPr>
      <w:r w:rsidRPr="00F8071D">
        <w:rPr>
          <w:rtl/>
        </w:rPr>
        <w:t>أدى استبداد الكنيسة وفساد بعض رجالها إلى بروز تيارات نقدية منذ أواخر العصور الوسطى، دعت إلى إصلاح الكنيسة وتحرير الفكر الديني من الانحرافات. ومن أبرز رواد هذه المرحلة جون ويكليف في إنجلترا ويان هوس في بوهيميا، اللذان ناديا بسلطة الكتاب المقدس وهاجما بيع صكوك الغفران</w:t>
      </w:r>
      <w:r w:rsidRPr="00F8071D">
        <w:t>.</w:t>
      </w:r>
    </w:p>
    <w:p w:rsidR="00F8071D" w:rsidRPr="00F8071D" w:rsidRDefault="00F8071D" w:rsidP="00F8071D">
      <w:pPr>
        <w:bidi/>
      </w:pPr>
      <w:r w:rsidRPr="00F8071D">
        <w:rPr>
          <w:rtl/>
        </w:rPr>
        <w:t>وقد مهّدت هذه الدعوات الطريق لظهور حركة الإصلاح البروتستانتي في القرن السادس عشر، بقيادة مارتن لوثر، الذي شكّلت أطروحاته الخمس والتسعون نقطة تحول كبرى في تاريخ الفكر الديني والاجتماعي الأوروبي</w:t>
      </w:r>
      <w:r w:rsidRPr="00F8071D">
        <w:t>.</w:t>
      </w:r>
    </w:p>
    <w:p w:rsidR="00F8071D" w:rsidRPr="00F8071D" w:rsidRDefault="00F8071D" w:rsidP="00F8071D">
      <w:pPr>
        <w:bidi/>
      </w:pPr>
      <w:r w:rsidRPr="00F8071D">
        <w:pict>
          <v:rect id="_x0000_i1030" style="width:0;height:1.5pt" o:hralign="center" o:hrstd="t" o:hr="t" fillcolor="#a0a0a0" stroked="f"/>
        </w:pict>
      </w:r>
    </w:p>
    <w:p w:rsidR="00F8071D" w:rsidRPr="00F8071D" w:rsidRDefault="00F8071D" w:rsidP="00F8071D">
      <w:pPr>
        <w:bidi/>
        <w:rPr>
          <w:b/>
          <w:bCs/>
        </w:rPr>
      </w:pPr>
      <w:r w:rsidRPr="00F8071D">
        <w:rPr>
          <w:b/>
          <w:bCs/>
          <w:rtl/>
        </w:rPr>
        <w:t>سادسًا: الفكر الاجتماعي في عصر النهضة</w:t>
      </w:r>
    </w:p>
    <w:p w:rsidR="00F8071D" w:rsidRPr="00F8071D" w:rsidRDefault="00F8071D" w:rsidP="00F8071D">
      <w:pPr>
        <w:bidi/>
      </w:pPr>
      <w:r w:rsidRPr="00F8071D">
        <w:rPr>
          <w:rtl/>
        </w:rPr>
        <w:t>مثّل عصر النهضة قطيعة تدريجية مع فكر العصور الوسطى، حيث استعاد الإنسان ثقته بالعقل، وازداد اهتمامه بالعلم والتجربة. واتجه الفكر في هذه المرحلة في مسارين رئيسيين: إحياء التراث اليوناني والروماني من خلال النزعة الإنسانية، والاهتمام بالطبيعة والبحث التجريبي، مما مهّد لظهور العلوم الحديثة</w:t>
      </w:r>
      <w:r w:rsidRPr="00F8071D">
        <w:t>.</w:t>
      </w:r>
    </w:p>
    <w:p w:rsidR="00F8071D" w:rsidRPr="00F8071D" w:rsidRDefault="00F8071D" w:rsidP="00F8071D">
      <w:pPr>
        <w:bidi/>
      </w:pPr>
      <w:r w:rsidRPr="00F8071D">
        <w:rPr>
          <w:rtl/>
        </w:rPr>
        <w:t>في هذا السياق، تحرر الإنسان من الهيمنة الكنسية، وأصبحت قيمة الفرد تقاس بقدراته وإنجازاته، لا بمدى خضوعه للمؤسسة الدينية. وأسهم هذا التحول في بروز الفردية والإنسانية، وتشكيل الأسس الفكرية للحداثة الأوروبية</w:t>
      </w:r>
      <w:r w:rsidRPr="00F8071D">
        <w:t>.</w:t>
      </w:r>
    </w:p>
    <w:p w:rsidR="00F8071D" w:rsidRPr="00F8071D" w:rsidRDefault="00F8071D" w:rsidP="00F8071D">
      <w:pPr>
        <w:bidi/>
      </w:pPr>
      <w:r w:rsidRPr="00F8071D">
        <w:pict>
          <v:rect id="_x0000_i1031" style="width:0;height:1.5pt" o:hralign="center" o:hrstd="t" o:hr="t" fillcolor="#a0a0a0" stroked="f"/>
        </w:pict>
      </w:r>
    </w:p>
    <w:p w:rsidR="00F8071D" w:rsidRPr="00F8071D" w:rsidRDefault="00F8071D" w:rsidP="00F8071D">
      <w:pPr>
        <w:bidi/>
        <w:rPr>
          <w:b/>
          <w:bCs/>
        </w:rPr>
      </w:pPr>
      <w:r w:rsidRPr="00F8071D">
        <w:rPr>
          <w:b/>
          <w:bCs/>
          <w:rtl/>
        </w:rPr>
        <w:t>خاتمة</w:t>
      </w:r>
    </w:p>
    <w:p w:rsidR="00F8071D" w:rsidRPr="00F8071D" w:rsidRDefault="00F8071D" w:rsidP="00F8071D">
      <w:pPr>
        <w:bidi/>
      </w:pPr>
      <w:r w:rsidRPr="00F8071D">
        <w:rPr>
          <w:rtl/>
        </w:rPr>
        <w:t>يُظهر تتبع تطور الفكر الاجتماعي في العصور الوسطى وعصر النهضة أن أوروبا عرفت انتقالًا تدريجيًا من هيمنة الفكر اللاهوتي والسلطة الكنسية إلى بروز العقلانية والإنسانية. وقد شكّل هذا التحول الأساس لظهور الحداثة الأوروبية، بكل ما حملته من ثورات فكرية ودينية وعلمية وسياسية، جعلت من القرن السادس عشر بحق عصر تجديد وتحول جذري في تاريخ الفكر الإنساني</w:t>
      </w:r>
      <w:r w:rsidRPr="00F8071D">
        <w:t>.</w:t>
      </w:r>
    </w:p>
    <w:p w:rsidR="00F8071D" w:rsidRPr="00F8071D" w:rsidRDefault="00F8071D" w:rsidP="00F8071D">
      <w:pPr>
        <w:bidi/>
      </w:pPr>
      <w:r w:rsidRPr="00F8071D">
        <w:pict>
          <v:rect id="_x0000_i1032" style="width:0;height:1.5pt" o:hralign="center" o:hrstd="t" o:hr="t" fillcolor="#a0a0a0" stroked="f"/>
        </w:pict>
      </w:r>
    </w:p>
    <w:p w:rsidR="00F8071D" w:rsidRPr="00F8071D" w:rsidRDefault="00F8071D" w:rsidP="00F8071D">
      <w:pPr>
        <w:bidi/>
        <w:rPr>
          <w:b/>
          <w:bCs/>
        </w:rPr>
      </w:pPr>
      <w:r w:rsidRPr="00F8071D">
        <w:rPr>
          <w:b/>
          <w:bCs/>
          <w:rtl/>
        </w:rPr>
        <w:t>قائمة المراجع</w:t>
      </w:r>
    </w:p>
    <w:p w:rsidR="00F8071D" w:rsidRPr="00F8071D" w:rsidRDefault="00F8071D" w:rsidP="00F8071D">
      <w:pPr>
        <w:bidi/>
        <w:rPr>
          <w:b/>
          <w:bCs/>
        </w:rPr>
      </w:pPr>
      <w:r w:rsidRPr="00F8071D">
        <w:rPr>
          <w:b/>
          <w:bCs/>
          <w:rtl/>
        </w:rPr>
        <w:t>أولًا: المراجع العربية</w:t>
      </w:r>
    </w:p>
    <w:p w:rsidR="00F8071D" w:rsidRPr="00F8071D" w:rsidRDefault="00F8071D" w:rsidP="00F8071D">
      <w:pPr>
        <w:numPr>
          <w:ilvl w:val="0"/>
          <w:numId w:val="1"/>
        </w:numPr>
        <w:bidi/>
      </w:pPr>
      <w:r w:rsidRPr="00F8071D">
        <w:rPr>
          <w:rtl/>
        </w:rPr>
        <w:t xml:space="preserve">أحمد شلبي، </w:t>
      </w:r>
      <w:r w:rsidRPr="00F8071D">
        <w:rPr>
          <w:i/>
          <w:iCs/>
          <w:rtl/>
        </w:rPr>
        <w:t>المسيحية: نشأتها وتطورها</w:t>
      </w:r>
      <w:r w:rsidRPr="00F8071D">
        <w:rPr>
          <w:rtl/>
        </w:rPr>
        <w:t>، مكتبة النهضة المصرية، القاهرة</w:t>
      </w:r>
      <w:r w:rsidRPr="00F8071D">
        <w:t>.</w:t>
      </w:r>
    </w:p>
    <w:p w:rsidR="00F8071D" w:rsidRPr="00F8071D" w:rsidRDefault="00F8071D" w:rsidP="00F8071D">
      <w:pPr>
        <w:numPr>
          <w:ilvl w:val="0"/>
          <w:numId w:val="1"/>
        </w:numPr>
        <w:bidi/>
      </w:pPr>
      <w:r w:rsidRPr="00F8071D">
        <w:rPr>
          <w:rtl/>
        </w:rPr>
        <w:t xml:space="preserve">عبد الرحمن بدوي، </w:t>
      </w:r>
      <w:r w:rsidRPr="00F8071D">
        <w:rPr>
          <w:i/>
          <w:iCs/>
          <w:rtl/>
        </w:rPr>
        <w:t>موسوعة الفلسفة</w:t>
      </w:r>
      <w:r w:rsidRPr="00F8071D">
        <w:rPr>
          <w:rtl/>
        </w:rPr>
        <w:t>، المؤسسة العربية للدراسات والنشر، بيروت</w:t>
      </w:r>
      <w:r w:rsidRPr="00F8071D">
        <w:t>.</w:t>
      </w:r>
    </w:p>
    <w:p w:rsidR="00F8071D" w:rsidRPr="00F8071D" w:rsidRDefault="00F8071D" w:rsidP="00F8071D">
      <w:pPr>
        <w:numPr>
          <w:ilvl w:val="0"/>
          <w:numId w:val="1"/>
        </w:numPr>
        <w:bidi/>
      </w:pPr>
      <w:r w:rsidRPr="00F8071D">
        <w:rPr>
          <w:rtl/>
        </w:rPr>
        <w:t xml:space="preserve">محمد عبد الله عنان، </w:t>
      </w:r>
      <w:r w:rsidRPr="00F8071D">
        <w:rPr>
          <w:i/>
          <w:iCs/>
          <w:rtl/>
        </w:rPr>
        <w:t>أوروبا في العصور الوسطى</w:t>
      </w:r>
      <w:r w:rsidRPr="00F8071D">
        <w:rPr>
          <w:rtl/>
        </w:rPr>
        <w:t>، دار المعارف، القاهرة</w:t>
      </w:r>
      <w:r w:rsidRPr="00F8071D">
        <w:t>.</w:t>
      </w:r>
    </w:p>
    <w:p w:rsidR="00F8071D" w:rsidRPr="00F8071D" w:rsidRDefault="00F8071D" w:rsidP="00F8071D">
      <w:pPr>
        <w:numPr>
          <w:ilvl w:val="0"/>
          <w:numId w:val="1"/>
        </w:numPr>
        <w:bidi/>
      </w:pPr>
      <w:r w:rsidRPr="00F8071D">
        <w:rPr>
          <w:rtl/>
        </w:rPr>
        <w:t xml:space="preserve">حسن حنفي، </w:t>
      </w:r>
      <w:r w:rsidRPr="00F8071D">
        <w:rPr>
          <w:i/>
          <w:iCs/>
          <w:rtl/>
        </w:rPr>
        <w:t>من العقيدة إلى الثورة</w:t>
      </w:r>
      <w:r w:rsidRPr="00F8071D">
        <w:rPr>
          <w:rtl/>
        </w:rPr>
        <w:t>، دار التنوير، بيروت</w:t>
      </w:r>
      <w:r w:rsidRPr="00F8071D">
        <w:t>.</w:t>
      </w:r>
    </w:p>
    <w:p w:rsidR="00F8071D" w:rsidRPr="00F8071D" w:rsidRDefault="00F8071D" w:rsidP="00F8071D">
      <w:pPr>
        <w:numPr>
          <w:ilvl w:val="0"/>
          <w:numId w:val="1"/>
        </w:numPr>
        <w:bidi/>
      </w:pPr>
      <w:r w:rsidRPr="00F8071D">
        <w:rPr>
          <w:rtl/>
        </w:rPr>
        <w:t xml:space="preserve">فؤاد زكريا، </w:t>
      </w:r>
      <w:r w:rsidRPr="00F8071D">
        <w:rPr>
          <w:i/>
          <w:iCs/>
          <w:rtl/>
        </w:rPr>
        <w:t>التفكير العلمي</w:t>
      </w:r>
      <w:r w:rsidRPr="00F8071D">
        <w:rPr>
          <w:rtl/>
        </w:rPr>
        <w:t>، الهيئة المصرية العامة للكتاب</w:t>
      </w:r>
      <w:r w:rsidRPr="00F8071D">
        <w:t>.</w:t>
      </w:r>
    </w:p>
    <w:p w:rsidR="00F8071D" w:rsidRPr="00F8071D" w:rsidRDefault="00F8071D" w:rsidP="00F8071D">
      <w:pPr>
        <w:bidi/>
        <w:rPr>
          <w:b/>
          <w:bCs/>
        </w:rPr>
      </w:pPr>
      <w:r w:rsidRPr="00F8071D">
        <w:rPr>
          <w:b/>
          <w:bCs/>
          <w:rtl/>
        </w:rPr>
        <w:t>ثانيًا: المراجع الأجنبية والمترجمة</w:t>
      </w:r>
    </w:p>
    <w:p w:rsidR="00F8071D" w:rsidRPr="00F8071D" w:rsidRDefault="00F8071D" w:rsidP="00F8071D">
      <w:pPr>
        <w:numPr>
          <w:ilvl w:val="0"/>
          <w:numId w:val="2"/>
        </w:numPr>
        <w:bidi/>
        <w:rPr>
          <w:lang w:val="fr-FR"/>
        </w:rPr>
      </w:pPr>
      <w:r w:rsidRPr="00F8071D">
        <w:rPr>
          <w:lang w:val="fr-FR"/>
        </w:rPr>
        <w:t xml:space="preserve">Jacques Le Goff, </w:t>
      </w:r>
      <w:r w:rsidRPr="00F8071D">
        <w:rPr>
          <w:i/>
          <w:iCs/>
          <w:lang w:val="fr-FR"/>
        </w:rPr>
        <w:t>La civilisation de l’Occident médiéval</w:t>
      </w:r>
      <w:r w:rsidRPr="00F8071D">
        <w:rPr>
          <w:lang w:val="fr-FR"/>
        </w:rPr>
        <w:t>, Arthaud, Paris.</w:t>
      </w:r>
    </w:p>
    <w:p w:rsidR="00F8071D" w:rsidRPr="00F8071D" w:rsidRDefault="00F8071D" w:rsidP="00F8071D">
      <w:pPr>
        <w:numPr>
          <w:ilvl w:val="0"/>
          <w:numId w:val="2"/>
        </w:numPr>
        <w:bidi/>
      </w:pPr>
      <w:r w:rsidRPr="00F8071D">
        <w:t xml:space="preserve">Ernst Cassirer, </w:t>
      </w:r>
      <w:proofErr w:type="gramStart"/>
      <w:r w:rsidRPr="00F8071D">
        <w:rPr>
          <w:i/>
          <w:iCs/>
        </w:rPr>
        <w:t>The</w:t>
      </w:r>
      <w:proofErr w:type="gramEnd"/>
      <w:r w:rsidRPr="00F8071D">
        <w:rPr>
          <w:i/>
          <w:iCs/>
        </w:rPr>
        <w:t xml:space="preserve"> Individual and the Cosmos in Renaissance Philosophy</w:t>
      </w:r>
      <w:r w:rsidRPr="00F8071D">
        <w:t>, University of Pennsylvania Press.</w:t>
      </w:r>
    </w:p>
    <w:p w:rsidR="00F8071D" w:rsidRPr="00F8071D" w:rsidRDefault="00F8071D" w:rsidP="00F8071D">
      <w:pPr>
        <w:numPr>
          <w:ilvl w:val="0"/>
          <w:numId w:val="2"/>
        </w:numPr>
        <w:bidi/>
      </w:pPr>
      <w:r w:rsidRPr="00F8071D">
        <w:lastRenderedPageBreak/>
        <w:t xml:space="preserve">Peter Burke, </w:t>
      </w:r>
      <w:proofErr w:type="gramStart"/>
      <w:r w:rsidRPr="00F8071D">
        <w:rPr>
          <w:i/>
          <w:iCs/>
        </w:rPr>
        <w:t>The</w:t>
      </w:r>
      <w:proofErr w:type="gramEnd"/>
      <w:r w:rsidRPr="00F8071D">
        <w:rPr>
          <w:i/>
          <w:iCs/>
        </w:rPr>
        <w:t xml:space="preserve"> Renaissance</w:t>
      </w:r>
      <w:r w:rsidRPr="00F8071D">
        <w:t>, Macmillan, London.</w:t>
      </w:r>
    </w:p>
    <w:p w:rsidR="00F8071D" w:rsidRPr="00F8071D" w:rsidRDefault="00F8071D" w:rsidP="00F8071D">
      <w:pPr>
        <w:numPr>
          <w:ilvl w:val="0"/>
          <w:numId w:val="2"/>
        </w:numPr>
        <w:bidi/>
      </w:pPr>
      <w:r w:rsidRPr="00F8071D">
        <w:t xml:space="preserve">Will Durant, </w:t>
      </w:r>
      <w:r w:rsidRPr="00F8071D">
        <w:rPr>
          <w:i/>
          <w:iCs/>
        </w:rPr>
        <w:t>The Story of Civilization</w:t>
      </w:r>
      <w:r w:rsidRPr="00F8071D">
        <w:t xml:space="preserve">, Vol. IV: </w:t>
      </w:r>
      <w:r w:rsidRPr="00F8071D">
        <w:rPr>
          <w:i/>
          <w:iCs/>
        </w:rPr>
        <w:t>The Age of Faith</w:t>
      </w:r>
      <w:r w:rsidRPr="00F8071D">
        <w:t>.</w:t>
      </w:r>
    </w:p>
    <w:p w:rsidR="00F8071D" w:rsidRPr="00F8071D" w:rsidRDefault="00F8071D" w:rsidP="00F8071D">
      <w:pPr>
        <w:numPr>
          <w:ilvl w:val="0"/>
          <w:numId w:val="2"/>
        </w:numPr>
        <w:bidi/>
      </w:pPr>
      <w:r w:rsidRPr="00F8071D">
        <w:t xml:space="preserve">Max Weber, </w:t>
      </w:r>
      <w:proofErr w:type="gramStart"/>
      <w:r w:rsidRPr="00F8071D">
        <w:rPr>
          <w:i/>
          <w:iCs/>
        </w:rPr>
        <w:t>The</w:t>
      </w:r>
      <w:proofErr w:type="gramEnd"/>
      <w:r w:rsidRPr="00F8071D">
        <w:rPr>
          <w:i/>
          <w:iCs/>
        </w:rPr>
        <w:t xml:space="preserve"> Protestant Ethic and the Spirit of Capitalism</w:t>
      </w:r>
      <w:r w:rsidRPr="00F8071D">
        <w:t>.</w:t>
      </w:r>
    </w:p>
    <w:p w:rsidR="001F3FD7" w:rsidRPr="00F8071D" w:rsidRDefault="001F3FD7" w:rsidP="00F8071D">
      <w:pPr>
        <w:bidi/>
      </w:pPr>
      <w:bookmarkStart w:id="0" w:name="_GoBack"/>
      <w:bookmarkEnd w:id="0"/>
    </w:p>
    <w:sectPr w:rsidR="001F3FD7" w:rsidRPr="00F807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20ABC"/>
    <w:multiLevelType w:val="multilevel"/>
    <w:tmpl w:val="07F4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71DB5"/>
    <w:multiLevelType w:val="multilevel"/>
    <w:tmpl w:val="AAF6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1D"/>
    <w:rsid w:val="001F3FD7"/>
    <w:rsid w:val="0030424D"/>
    <w:rsid w:val="00467D15"/>
    <w:rsid w:val="00B0317C"/>
    <w:rsid w:val="00C22BF0"/>
    <w:rsid w:val="00F80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22080-7AD2-4962-BD87-888D937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4552">
      <w:bodyDiv w:val="1"/>
      <w:marLeft w:val="0"/>
      <w:marRight w:val="0"/>
      <w:marTop w:val="0"/>
      <w:marBottom w:val="0"/>
      <w:divBdr>
        <w:top w:val="none" w:sz="0" w:space="0" w:color="auto"/>
        <w:left w:val="none" w:sz="0" w:space="0" w:color="auto"/>
        <w:bottom w:val="none" w:sz="0" w:space="0" w:color="auto"/>
        <w:right w:val="none" w:sz="0" w:space="0" w:color="auto"/>
      </w:divBdr>
      <w:divsChild>
        <w:div w:id="961349542">
          <w:marLeft w:val="0"/>
          <w:marRight w:val="0"/>
          <w:marTop w:val="0"/>
          <w:marBottom w:val="0"/>
          <w:divBdr>
            <w:top w:val="none" w:sz="0" w:space="0" w:color="auto"/>
            <w:left w:val="none" w:sz="0" w:space="0" w:color="auto"/>
            <w:bottom w:val="none" w:sz="0" w:space="0" w:color="auto"/>
            <w:right w:val="none" w:sz="0" w:space="0" w:color="auto"/>
          </w:divBdr>
        </w:div>
        <w:div w:id="1870988109">
          <w:marLeft w:val="0"/>
          <w:marRight w:val="0"/>
          <w:marTop w:val="0"/>
          <w:marBottom w:val="0"/>
          <w:divBdr>
            <w:top w:val="none" w:sz="0" w:space="0" w:color="auto"/>
            <w:left w:val="none" w:sz="0" w:space="0" w:color="auto"/>
            <w:bottom w:val="none" w:sz="0" w:space="0" w:color="auto"/>
            <w:right w:val="none" w:sz="0" w:space="0" w:color="auto"/>
          </w:divBdr>
        </w:div>
        <w:div w:id="784887467">
          <w:marLeft w:val="0"/>
          <w:marRight w:val="0"/>
          <w:marTop w:val="0"/>
          <w:marBottom w:val="0"/>
          <w:divBdr>
            <w:top w:val="none" w:sz="0" w:space="0" w:color="auto"/>
            <w:left w:val="none" w:sz="0" w:space="0" w:color="auto"/>
            <w:bottom w:val="none" w:sz="0" w:space="0" w:color="auto"/>
            <w:right w:val="none" w:sz="0" w:space="0" w:color="auto"/>
          </w:divBdr>
        </w:div>
        <w:div w:id="1033531638">
          <w:marLeft w:val="0"/>
          <w:marRight w:val="0"/>
          <w:marTop w:val="0"/>
          <w:marBottom w:val="0"/>
          <w:divBdr>
            <w:top w:val="none" w:sz="0" w:space="0" w:color="auto"/>
            <w:left w:val="none" w:sz="0" w:space="0" w:color="auto"/>
            <w:bottom w:val="none" w:sz="0" w:space="0" w:color="auto"/>
            <w:right w:val="none" w:sz="0" w:space="0" w:color="auto"/>
          </w:divBdr>
        </w:div>
        <w:div w:id="676856864">
          <w:marLeft w:val="0"/>
          <w:marRight w:val="0"/>
          <w:marTop w:val="0"/>
          <w:marBottom w:val="0"/>
          <w:divBdr>
            <w:top w:val="none" w:sz="0" w:space="0" w:color="auto"/>
            <w:left w:val="none" w:sz="0" w:space="0" w:color="auto"/>
            <w:bottom w:val="none" w:sz="0" w:space="0" w:color="auto"/>
            <w:right w:val="none" w:sz="0" w:space="0" w:color="auto"/>
          </w:divBdr>
        </w:div>
        <w:div w:id="1085615218">
          <w:marLeft w:val="0"/>
          <w:marRight w:val="0"/>
          <w:marTop w:val="0"/>
          <w:marBottom w:val="0"/>
          <w:divBdr>
            <w:top w:val="none" w:sz="0" w:space="0" w:color="auto"/>
            <w:left w:val="none" w:sz="0" w:space="0" w:color="auto"/>
            <w:bottom w:val="none" w:sz="0" w:space="0" w:color="auto"/>
            <w:right w:val="none" w:sz="0" w:space="0" w:color="auto"/>
          </w:divBdr>
        </w:div>
        <w:div w:id="373653493">
          <w:marLeft w:val="0"/>
          <w:marRight w:val="0"/>
          <w:marTop w:val="0"/>
          <w:marBottom w:val="0"/>
          <w:divBdr>
            <w:top w:val="none" w:sz="0" w:space="0" w:color="auto"/>
            <w:left w:val="none" w:sz="0" w:space="0" w:color="auto"/>
            <w:bottom w:val="none" w:sz="0" w:space="0" w:color="auto"/>
            <w:right w:val="none" w:sz="0" w:space="0" w:color="auto"/>
          </w:divBdr>
        </w:div>
        <w:div w:id="61296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dc:creator>
  <cp:keywords/>
  <dc:description/>
  <cp:lastModifiedBy>Guerri</cp:lastModifiedBy>
  <cp:revision>1</cp:revision>
  <dcterms:created xsi:type="dcterms:W3CDTF">2026-02-03T11:12:00Z</dcterms:created>
  <dcterms:modified xsi:type="dcterms:W3CDTF">2026-02-03T12:01:00Z</dcterms:modified>
</cp:coreProperties>
</file>