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18B56F">
      <w:pPr>
        <w:keepNext w:val="0"/>
        <w:keepLines w:val="0"/>
        <w:widowControl/>
        <w:suppressLineNumbers w:val="0"/>
        <w:wordWrap/>
        <w:spacing w:line="240" w:lineRule="auto"/>
        <w:jc w:val="center"/>
        <w:rPr>
          <w:rFonts w:hint="default" w:ascii="Simplified Arabic" w:hAnsi="Simplified Arabic" w:eastAsia="SimSun" w:cs="Simplified Arabic"/>
          <w:b/>
          <w:bCs/>
          <w:kern w:val="0"/>
          <w:sz w:val="40"/>
          <w:szCs w:val="40"/>
          <w:rtl/>
          <w:cs w:val="0"/>
          <w:lang w:val="en-US" w:eastAsia="zh-CN" w:bidi="ar-DZ"/>
        </w:rPr>
      </w:pPr>
      <w:r>
        <w:rPr>
          <w:rFonts w:hint="cs" w:ascii="Simplified Arabic" w:hAnsi="Simplified Arabic" w:eastAsia="SimSun" w:cs="Simplified Arabic"/>
          <w:b/>
          <w:bCs/>
          <w:kern w:val="0"/>
          <w:sz w:val="40"/>
          <w:szCs w:val="40"/>
          <w:rtl/>
          <w:cs w:val="0"/>
          <w:lang w:val="en-US" w:eastAsia="zh-CN" w:bidi="ar-DZ"/>
        </w:rPr>
        <w:t>الرابط الاجتماعي عند جورج جانيبيان</w:t>
      </w:r>
    </w:p>
    <w:p w14:paraId="765ABB1B">
      <w:pPr>
        <w:keepNext w:val="0"/>
        <w:keepLines w:val="0"/>
        <w:widowControl/>
        <w:suppressLineNumbers w:val="0"/>
        <w:spacing w:line="360" w:lineRule="auto"/>
        <w:jc w:val="right"/>
        <w:rPr>
          <w:rFonts w:hint="default" w:ascii="Simplified Arabic" w:hAnsi="Simplified Arabic" w:eastAsia="SimSun" w:cs="Simplified Arabic"/>
          <w:b/>
          <w:bCs/>
          <w:kern w:val="0"/>
          <w:sz w:val="32"/>
          <w:szCs w:val="32"/>
          <w:rtl/>
          <w:cs w:val="0"/>
          <w:lang w:val="en-US" w:eastAsia="zh-CN" w:bidi="ar-DZ"/>
        </w:rPr>
      </w:pPr>
      <w:r>
        <w:rPr>
          <w:rFonts w:hint="cs" w:ascii="Simplified Arabic" w:hAnsi="Simplified Arabic" w:eastAsia="SimSun" w:cs="Simplified Arabic"/>
          <w:b/>
          <w:bCs/>
          <w:kern w:val="0"/>
          <w:sz w:val="32"/>
          <w:szCs w:val="32"/>
          <w:rtl/>
          <w:cs w:val="0"/>
          <w:lang w:val="en-US" w:eastAsia="zh-CN" w:bidi="ar-DZ"/>
        </w:rPr>
        <w:t>تمهيد:</w:t>
      </w:r>
    </w:p>
    <w:p w14:paraId="25C5EFCE">
      <w:pPr>
        <w:keepNext w:val="0"/>
        <w:keepLines w:val="0"/>
        <w:widowControl/>
        <w:suppressLineNumbers w:val="0"/>
        <w:jc w:val="right"/>
        <w:rPr>
          <w:rFonts w:hint="default" w:ascii="Simplified Arabic" w:hAnsi="Simplified Arabic" w:cs="Simplified Arabic"/>
          <w:sz w:val="32"/>
          <w:szCs w:val="32"/>
        </w:rPr>
      </w:pPr>
      <w:r>
        <w:rPr>
          <w:rFonts w:hint="default" w:ascii="Simplified Arabic" w:hAnsi="Simplified Arabic" w:eastAsia="SimSun" w:cs="Simplified Arabic"/>
          <w:kern w:val="0"/>
          <w:sz w:val="32"/>
          <w:szCs w:val="32"/>
          <w:rtl/>
          <w:cs/>
          <w:lang w:val="en-US" w:eastAsia="zh-CN" w:bidi="ar-SA"/>
        </w:rPr>
        <w:t xml:space="preserve">الرابط السوسيولوجي عند جورج جانيبان 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cs w:val="0"/>
          <w:lang w:val="en-US" w:eastAsia="zh-CN" w:bidi="ar"/>
        </w:rPr>
        <w:t>(Georges Gurvitch)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rtl/>
          <w:cs/>
          <w:lang w:val="en-US" w:eastAsia="zh-CN" w:bidi="ar-SA"/>
        </w:rPr>
        <w:t xml:space="preserve">، والذي يُعرف أحيانًا في الترجمات العربية باسم 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cs w:val="0"/>
          <w:lang w:val="en-US" w:eastAsia="zh-CN" w:bidi="ar"/>
        </w:rPr>
        <w:t>"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rtl/>
          <w:cs/>
          <w:lang w:val="en-US" w:eastAsia="zh-CN" w:bidi="ar-SA"/>
        </w:rPr>
        <w:t>جانيبان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cs w:val="0"/>
          <w:lang w:val="en-US" w:eastAsia="zh-CN" w:bidi="ar"/>
        </w:rPr>
        <w:t>"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rtl/>
          <w:cs/>
          <w:lang w:val="en-US" w:eastAsia="zh-CN" w:bidi="ar-SA"/>
        </w:rPr>
        <w:t>، يُشير إلى العلاقات الاجتماعية التي تربط الأفراد داخل المجتمع، والتي تتجاوز الروابط القانونية أو الاقتصادية، وتركّز على الأبعاد الرمزية والثقافية والاجتماعية للتفاعل البشري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cs w:val="0"/>
          <w:lang w:val="en-US" w:eastAsia="zh-CN" w:bidi="ar"/>
        </w:rPr>
        <w:t>.</w:t>
      </w:r>
    </w:p>
    <w:p w14:paraId="482CFB1A">
      <w:pPr>
        <w:keepNext w:val="0"/>
        <w:keepLines w:val="0"/>
        <w:widowControl/>
        <w:suppressLineNumbers w:val="0"/>
        <w:jc w:val="right"/>
        <w:rPr>
          <w:rFonts w:hint="default" w:ascii="Simplified Arabic" w:hAnsi="Simplified Arabic" w:cs="Simplified Arabic"/>
          <w:sz w:val="32"/>
          <w:szCs w:val="32"/>
        </w:rPr>
      </w:pPr>
      <w:r>
        <w:rPr>
          <w:rFonts w:hint="default" w:ascii="Simplified Arabic" w:hAnsi="Simplified Arabic" w:eastAsia="SimSun" w:cs="Simplified Arabic"/>
          <w:kern w:val="0"/>
          <w:sz w:val="32"/>
          <w:szCs w:val="32"/>
          <w:rtl/>
          <w:cs/>
          <w:lang w:val="en-US" w:eastAsia="zh-CN" w:bidi="ar-SA"/>
        </w:rPr>
        <w:t xml:space="preserve">جانيبان يُعد من أبرز علماء الاجتماع الفرنسيين في القرن العشرين، وقد ركز في دراسته للرابط السوسيولوجي على مفهوم 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cs w:val="0"/>
          <w:lang w:val="en-US" w:eastAsia="zh-CN" w:bidi="ar"/>
        </w:rPr>
        <w:t>"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rtl/>
          <w:cs/>
          <w:lang w:val="en-US" w:eastAsia="zh-CN" w:bidi="ar-SA"/>
        </w:rPr>
        <w:t>التضامن الاجتماعي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cs w:val="0"/>
          <w:lang w:val="en-US" w:eastAsia="zh-CN" w:bidi="ar"/>
        </w:rPr>
        <w:t xml:space="preserve">" 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rtl/>
          <w:cs/>
          <w:lang w:val="en-US" w:eastAsia="zh-CN" w:bidi="ar-SA"/>
        </w:rPr>
        <w:t>و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cs w:val="0"/>
          <w:lang w:val="en-US" w:eastAsia="zh-CN" w:bidi="ar"/>
        </w:rPr>
        <w:t>"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rtl/>
          <w:cs/>
          <w:lang w:val="en-US" w:eastAsia="zh-CN" w:bidi="ar-SA"/>
        </w:rPr>
        <w:t>الوعي الجمعي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cs w:val="0"/>
          <w:lang w:val="en-US" w:eastAsia="zh-CN" w:bidi="ar"/>
        </w:rPr>
        <w:t>"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rtl/>
          <w:cs/>
          <w:lang w:val="en-US" w:eastAsia="zh-CN" w:bidi="ar-SA"/>
        </w:rPr>
        <w:t>، وتحديدًا من منظور الديناميات الجماعية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cs w:val="0"/>
          <w:lang w:val="en-US" w:eastAsia="zh-CN" w:bidi="ar"/>
        </w:rPr>
        <w:t>.</w:t>
      </w:r>
    </w:p>
    <w:p w14:paraId="26BB728D">
      <w:pPr>
        <w:keepNext w:val="0"/>
        <w:keepLines w:val="0"/>
        <w:widowControl/>
        <w:suppressLineNumbers w:val="0"/>
        <w:jc w:val="right"/>
        <w:rPr>
          <w:rFonts w:hint="default" w:ascii="Simplified Arabic" w:hAnsi="Simplified Arabic" w:cs="Simplified Arabic"/>
          <w:b/>
          <w:bCs/>
          <w:sz w:val="36"/>
          <w:szCs w:val="36"/>
        </w:rPr>
      </w:pPr>
      <w:r>
        <w:rPr>
          <w:rFonts w:hint="default" w:ascii="Simplified Arabic" w:hAnsi="Simplified Arabic" w:eastAsia="SimSun" w:cs="Simplified Arabic"/>
          <w:b/>
          <w:bCs/>
          <w:kern w:val="0"/>
          <w:sz w:val="36"/>
          <w:szCs w:val="36"/>
          <w:rtl/>
          <w:cs/>
          <w:lang w:val="en-US" w:eastAsia="zh-CN" w:bidi="ar-SA"/>
        </w:rPr>
        <w:t>تعريف الرابط السوسيولوجي عنده</w:t>
      </w:r>
      <w:r>
        <w:rPr>
          <w:rFonts w:hint="default" w:ascii="Simplified Arabic" w:hAnsi="Simplified Arabic" w:eastAsia="SimSun" w:cs="Simplified Arabic"/>
          <w:b/>
          <w:bCs/>
          <w:kern w:val="0"/>
          <w:sz w:val="36"/>
          <w:szCs w:val="36"/>
          <w:cs w:val="0"/>
          <w:lang w:val="en-US" w:eastAsia="zh-CN" w:bidi="ar"/>
        </w:rPr>
        <w:t>:</w:t>
      </w:r>
    </w:p>
    <w:p w14:paraId="485DE7D8">
      <w:pPr>
        <w:keepNext w:val="0"/>
        <w:keepLines w:val="0"/>
        <w:widowControl/>
        <w:suppressLineNumbers w:val="0"/>
        <w:jc w:val="right"/>
        <w:rPr>
          <w:rFonts w:hint="default" w:ascii="Simplified Arabic" w:hAnsi="Simplified Arabic" w:cs="Simplified Arabic"/>
          <w:sz w:val="32"/>
          <w:szCs w:val="32"/>
        </w:rPr>
      </w:pPr>
      <w:r>
        <w:rPr>
          <w:rFonts w:hint="default" w:ascii="Simplified Arabic" w:hAnsi="Simplified Arabic" w:eastAsia="SimSun" w:cs="Simplified Arabic"/>
          <w:kern w:val="0"/>
          <w:sz w:val="32"/>
          <w:szCs w:val="32"/>
          <w:rtl/>
          <w:cs/>
          <w:lang w:val="en-US" w:eastAsia="zh-CN" w:bidi="ar-SA"/>
        </w:rPr>
        <w:t>هو النسيج الذي يتكوّن من التفاعلات والعلاقات بين الأفراد داخل جماعة ما،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cs w:val="0"/>
          <w:lang w:val="en-US" w:eastAsia="zh-CN" w:bidi="ar"/>
        </w:rPr>
        <w:t>.</w:t>
      </w:r>
    </w:p>
    <w:p w14:paraId="083F8F8B">
      <w:pPr>
        <w:keepNext w:val="0"/>
        <w:keepLines w:val="0"/>
        <w:widowControl/>
        <w:suppressLineNumbers w:val="0"/>
        <w:jc w:val="right"/>
        <w:rPr>
          <w:rFonts w:hint="default" w:ascii="Simplified Arabic" w:hAnsi="Simplified Arabic" w:cs="Simplified Arabic"/>
          <w:b/>
          <w:bCs/>
          <w:sz w:val="32"/>
          <w:szCs w:val="32"/>
        </w:rPr>
      </w:pPr>
      <w:r>
        <w:rPr>
          <w:rFonts w:hint="default" w:ascii="Simplified Arabic" w:hAnsi="Simplified Arabic" w:eastAsia="SimSun" w:cs="Simplified Arabic"/>
          <w:b/>
          <w:bCs/>
          <w:kern w:val="0"/>
          <w:sz w:val="32"/>
          <w:szCs w:val="32"/>
          <w:rtl/>
          <w:cs/>
          <w:lang w:val="en-US" w:eastAsia="zh-CN" w:bidi="ar-SA"/>
        </w:rPr>
        <w:t>خصائص الرابط السوسيولوجي عند جانيبان</w:t>
      </w:r>
      <w:r>
        <w:rPr>
          <w:rFonts w:hint="default" w:ascii="Simplified Arabic" w:hAnsi="Simplified Arabic" w:eastAsia="SimSun" w:cs="Simplified Arabic"/>
          <w:b/>
          <w:bCs/>
          <w:kern w:val="0"/>
          <w:sz w:val="32"/>
          <w:szCs w:val="32"/>
          <w:cs w:val="0"/>
          <w:lang w:val="en-US" w:eastAsia="zh-CN" w:bidi="ar"/>
        </w:rPr>
        <w:t>:</w:t>
      </w:r>
    </w:p>
    <w:p w14:paraId="4CCA15C2">
      <w:pPr>
        <w:keepNext w:val="0"/>
        <w:keepLines w:val="0"/>
        <w:widowControl/>
        <w:suppressLineNumbers w:val="0"/>
        <w:jc w:val="right"/>
        <w:rPr>
          <w:rFonts w:hint="default" w:ascii="Simplified Arabic" w:hAnsi="Simplified Arabic" w:cs="Simplified Arabic"/>
          <w:sz w:val="32"/>
          <w:szCs w:val="32"/>
        </w:rPr>
      </w:pPr>
      <w:r>
        <w:rPr>
          <w:rFonts w:hint="default" w:ascii="Simplified Arabic" w:hAnsi="Simplified Arabic" w:eastAsia="SimSun" w:cs="Simplified Arabic"/>
          <w:kern w:val="0"/>
          <w:sz w:val="32"/>
          <w:szCs w:val="32"/>
          <w:lang w:val="en-US" w:eastAsia="zh-CN" w:bidi="ar"/>
        </w:rPr>
        <w:t xml:space="preserve"> 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rtl/>
          <w:cs/>
          <w:lang w:val="en-US" w:eastAsia="zh-CN" w:bidi="ar-SA"/>
        </w:rPr>
        <w:t>تعدّد المستويات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rtl w:val="0"/>
          <w:cs w:val="0"/>
          <w:lang w:val="fr-FR" w:eastAsia="zh-CN" w:bidi="ar-SA"/>
        </w:rPr>
        <w:t xml:space="preserve">-1 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cs w:val="0"/>
          <w:lang w:val="en-US" w:eastAsia="zh-CN" w:bidi="ar"/>
        </w:rPr>
        <w:t>.</w:t>
      </w:r>
    </w:p>
    <w:p w14:paraId="105B28C5">
      <w:pPr>
        <w:keepNext w:val="0"/>
        <w:keepLines w:val="0"/>
        <w:widowControl/>
        <w:suppressLineNumbers w:val="0"/>
        <w:jc w:val="right"/>
        <w:rPr>
          <w:rFonts w:hint="default" w:ascii="Simplified Arabic" w:hAnsi="Simplified Arabic" w:cs="Simplified Arabic"/>
          <w:sz w:val="32"/>
          <w:szCs w:val="32"/>
        </w:rPr>
      </w:pPr>
      <w:r>
        <w:rPr>
          <w:rFonts w:hint="default" w:ascii="Simplified Arabic" w:hAnsi="Simplified Arabic" w:eastAsia="SimSun" w:cs="Simplified Arabic"/>
          <w:kern w:val="0"/>
          <w:sz w:val="32"/>
          <w:szCs w:val="32"/>
          <w:lang w:val="en-US" w:eastAsia="zh-CN" w:bidi="ar"/>
        </w:rPr>
        <w:t xml:space="preserve"> 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rtl/>
          <w:cs/>
          <w:lang w:val="en-US" w:eastAsia="zh-CN" w:bidi="ar-SA"/>
        </w:rPr>
        <w:t>ديناميكي ومتغيّر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cs w:val="0"/>
          <w:lang w:val="en-US" w:eastAsia="zh-CN" w:bidi="ar"/>
        </w:rPr>
        <w:t xml:space="preserve">: 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cs w:val="0"/>
          <w:lang w:val="fr-FR" w:eastAsia="zh-CN" w:bidi="ar"/>
        </w:rPr>
        <w:t>-2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cs w:val="0"/>
          <w:lang w:val="en-US" w:eastAsia="zh-CN" w:bidi="ar"/>
        </w:rPr>
        <w:t>.</w:t>
      </w:r>
    </w:p>
    <w:p w14:paraId="017DCA76">
      <w:pPr>
        <w:keepNext w:val="0"/>
        <w:keepLines w:val="0"/>
        <w:widowControl/>
        <w:suppressLineNumbers w:val="0"/>
        <w:jc w:val="right"/>
        <w:rPr>
          <w:rFonts w:hint="default" w:ascii="Simplified Arabic" w:hAnsi="Simplified Arabic" w:cs="Simplified Arabic"/>
          <w:sz w:val="32"/>
          <w:szCs w:val="32"/>
        </w:rPr>
      </w:pPr>
      <w:r>
        <w:rPr>
          <w:rFonts w:hint="default" w:ascii="Simplified Arabic" w:hAnsi="Simplified Arabic" w:eastAsia="SimSun" w:cs="Simplified Arabic"/>
          <w:kern w:val="0"/>
          <w:sz w:val="32"/>
          <w:szCs w:val="32"/>
          <w:rtl/>
          <w:cs/>
          <w:lang w:val="en-US" w:eastAsia="zh-CN" w:bidi="ar-SA"/>
        </w:rPr>
        <w:t>يتشكّل من تداخل الأنظمة الاجتماعية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cs w:val="0"/>
          <w:lang w:val="en-US" w:eastAsia="zh-CN" w:bidi="ar"/>
        </w:rPr>
        <w:t>: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cs w:val="0"/>
          <w:lang w:val="fr-FR" w:eastAsia="zh-CN" w:bidi="ar"/>
        </w:rPr>
        <w:t>-3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cs w:val="0"/>
          <w:lang w:val="en-US" w:eastAsia="zh-CN" w:bidi="ar"/>
        </w:rPr>
        <w:t>.</w:t>
      </w:r>
    </w:p>
    <w:p w14:paraId="202A2A4D">
      <w:pPr>
        <w:keepNext w:val="0"/>
        <w:keepLines w:val="0"/>
        <w:widowControl/>
        <w:suppressLineNumbers w:val="0"/>
        <w:jc w:val="right"/>
        <w:rPr>
          <w:rFonts w:hint="default" w:ascii="Simplified Arabic" w:hAnsi="Simplified Arabic" w:cs="Simplified Arabic"/>
          <w:sz w:val="32"/>
          <w:szCs w:val="32"/>
        </w:rPr>
      </w:pPr>
      <w:r>
        <w:rPr>
          <w:rFonts w:hint="default" w:ascii="Simplified Arabic" w:hAnsi="Simplified Arabic" w:eastAsia="SimSun" w:cs="Simplified Arabic"/>
          <w:kern w:val="0"/>
          <w:sz w:val="32"/>
          <w:szCs w:val="32"/>
          <w:rtl/>
          <w:cs/>
          <w:lang w:val="en-US" w:eastAsia="zh-CN" w:bidi="ar-SA"/>
        </w:rPr>
        <w:t>يُظهر الصراع والتكامل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cs w:val="0"/>
          <w:lang w:val="en-US" w:eastAsia="zh-CN" w:bidi="ar"/>
        </w:rPr>
        <w:t>: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cs w:val="0"/>
          <w:lang w:val="fr-FR" w:eastAsia="zh-CN" w:bidi="ar"/>
        </w:rPr>
        <w:t>-4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cs w:val="0"/>
          <w:lang w:val="en-US" w:eastAsia="zh-CN" w:bidi="ar"/>
        </w:rPr>
        <w:t>.</w:t>
      </w:r>
    </w:p>
    <w:p w14:paraId="34F00AA0">
      <w:pPr>
        <w:keepNext w:val="0"/>
        <w:keepLines w:val="0"/>
        <w:widowControl/>
        <w:suppressLineNumbers w:val="0"/>
        <w:jc w:val="right"/>
        <w:rPr>
          <w:rFonts w:hint="default" w:ascii="Simplified Arabic" w:hAnsi="Simplified Arabic" w:cs="Simplified Arabic"/>
          <w:b/>
          <w:bCs/>
          <w:sz w:val="32"/>
          <w:szCs w:val="32"/>
        </w:rPr>
      </w:pPr>
      <w:r>
        <w:rPr>
          <w:rFonts w:hint="default" w:ascii="Simplified Arabic" w:hAnsi="Simplified Arabic" w:eastAsia="SimSun" w:cs="Simplified Arabic"/>
          <w:b/>
          <w:bCs/>
          <w:kern w:val="0"/>
          <w:sz w:val="32"/>
          <w:szCs w:val="32"/>
          <w:rtl/>
          <w:cs/>
          <w:lang w:val="en-US" w:eastAsia="zh-CN" w:bidi="ar-SA"/>
        </w:rPr>
        <w:t>الرابط السوسيولوجي عند جورج جانيبان</w:t>
      </w:r>
      <w:r>
        <w:rPr>
          <w:rFonts w:hint="default" w:ascii="Simplified Arabic" w:hAnsi="Simplified Arabic" w:eastAsia="SimSun" w:cs="Simplified Arabic"/>
          <w:b/>
          <w:bCs/>
          <w:kern w:val="0"/>
          <w:sz w:val="32"/>
          <w:szCs w:val="32"/>
          <w:cs w:val="0"/>
          <w:lang w:val="en-US" w:eastAsia="zh-CN" w:bidi="ar"/>
        </w:rPr>
        <w:t xml:space="preserve">: </w:t>
      </w:r>
      <w:r>
        <w:rPr>
          <w:rFonts w:hint="default" w:ascii="Simplified Arabic" w:hAnsi="Simplified Arabic" w:eastAsia="SimSun" w:cs="Simplified Arabic"/>
          <w:b/>
          <w:bCs/>
          <w:kern w:val="0"/>
          <w:sz w:val="32"/>
          <w:szCs w:val="32"/>
          <w:rtl/>
          <w:cs/>
          <w:lang w:val="en-US" w:eastAsia="zh-CN" w:bidi="ar-SA"/>
        </w:rPr>
        <w:t>دراسة تفصيلية موثقة</w:t>
      </w:r>
    </w:p>
    <w:p w14:paraId="142994C8">
      <w:pPr>
        <w:keepNext w:val="0"/>
        <w:keepLines w:val="0"/>
        <w:widowControl/>
        <w:suppressLineNumbers w:val="0"/>
        <w:jc w:val="right"/>
        <w:rPr>
          <w:rFonts w:hint="default" w:ascii="Simplified Arabic" w:hAnsi="Simplified Arabic" w:cs="Simplified Arabic"/>
          <w:b/>
          <w:bCs/>
          <w:sz w:val="32"/>
          <w:szCs w:val="32"/>
        </w:rPr>
      </w:pPr>
      <w:r>
        <w:rPr>
          <w:rFonts w:hint="default" w:ascii="Simplified Arabic" w:hAnsi="Simplified Arabic" w:eastAsia="SimSun" w:cs="Simplified Arabic"/>
          <w:b/>
          <w:bCs/>
          <w:kern w:val="0"/>
          <w:sz w:val="32"/>
          <w:szCs w:val="32"/>
          <w:lang w:val="en-US" w:eastAsia="zh-CN" w:bidi="ar"/>
        </w:rPr>
        <w:t xml:space="preserve">1. </w:t>
      </w:r>
      <w:r>
        <w:rPr>
          <w:rFonts w:hint="default" w:ascii="Simplified Arabic" w:hAnsi="Simplified Arabic" w:eastAsia="SimSun" w:cs="Simplified Arabic"/>
          <w:b/>
          <w:bCs/>
          <w:kern w:val="0"/>
          <w:sz w:val="32"/>
          <w:szCs w:val="32"/>
          <w:rtl/>
          <w:cs/>
          <w:lang w:val="en-US" w:eastAsia="zh-CN" w:bidi="ar-SA"/>
        </w:rPr>
        <w:t>الخلفية النظرية والفكرية</w:t>
      </w:r>
    </w:p>
    <w:p w14:paraId="05B2FEDB">
      <w:pPr>
        <w:keepNext w:val="0"/>
        <w:keepLines w:val="0"/>
        <w:widowControl/>
        <w:suppressLineNumbers w:val="0"/>
        <w:jc w:val="right"/>
        <w:rPr>
          <w:rFonts w:hint="default" w:ascii="Simplified Arabic" w:hAnsi="Simplified Arabic" w:cs="Simplified Arabic"/>
          <w:sz w:val="32"/>
          <w:szCs w:val="32"/>
        </w:rPr>
      </w:pPr>
      <w:r>
        <w:rPr>
          <w:rFonts w:hint="default" w:ascii="Simplified Arabic" w:hAnsi="Simplified Arabic" w:eastAsia="SimSun" w:cs="Simplified Arabic"/>
          <w:kern w:val="0"/>
          <w:sz w:val="32"/>
          <w:szCs w:val="32"/>
          <w:rtl/>
          <w:cs/>
          <w:lang w:val="en-US" w:eastAsia="zh-CN" w:bidi="ar-SA"/>
        </w:rPr>
        <w:t xml:space="preserve">جانيبان 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cs w:val="0"/>
          <w:lang w:val="en-US" w:eastAsia="zh-CN" w:bidi="ar"/>
        </w:rPr>
        <w:t>(Georges Gurvitch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rtl/>
          <w:cs/>
          <w:lang w:val="en-US" w:eastAsia="zh-CN" w:bidi="ar-SA"/>
        </w:rPr>
        <w:t xml:space="preserve">، 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cs w:val="0"/>
          <w:lang w:val="en-US" w:eastAsia="zh-CN" w:bidi="ar"/>
        </w:rPr>
        <w:t xml:space="preserve">1894–1965) 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rtl/>
          <w:cs/>
          <w:lang w:val="en-US" w:eastAsia="zh-CN" w:bidi="ar-SA"/>
        </w:rPr>
        <w:t>يُعتبر من أبرز ممثلي السوسيولوجيا التعددية الجدلية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cs w:val="0"/>
          <w:lang w:val="en-US" w:eastAsia="zh-CN" w:bidi="ar"/>
        </w:rPr>
        <w:t>.</w:t>
      </w:r>
    </w:p>
    <w:p w14:paraId="0958E4AB">
      <w:pPr>
        <w:keepNext w:val="0"/>
        <w:keepLines w:val="0"/>
        <w:widowControl/>
        <w:suppressLineNumbers w:val="0"/>
        <w:jc w:val="right"/>
        <w:rPr>
          <w:rFonts w:hint="default" w:ascii="Simplified Arabic" w:hAnsi="Simplified Arabic" w:cs="Simplified Arabic"/>
          <w:sz w:val="32"/>
          <w:szCs w:val="32"/>
        </w:rPr>
      </w:pPr>
      <w:r>
        <w:rPr>
          <w:rFonts w:hint="default" w:ascii="Simplified Arabic" w:hAnsi="Simplified Arabic" w:eastAsia="SimSun" w:cs="Simplified Arabic"/>
          <w:kern w:val="0"/>
          <w:sz w:val="32"/>
          <w:szCs w:val="32"/>
          <w:rtl/>
          <w:cs/>
          <w:lang w:val="en-US" w:eastAsia="zh-CN" w:bidi="ar-SA"/>
        </w:rPr>
        <w:t xml:space="preserve">رفض المقاربات الوضعية 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cs w:val="0"/>
          <w:lang w:val="en-US" w:eastAsia="zh-CN" w:bidi="ar"/>
        </w:rPr>
        <w:t>(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rtl/>
          <w:cs/>
          <w:lang w:val="en-US" w:eastAsia="zh-CN" w:bidi="ar-SA"/>
        </w:rPr>
        <w:t>مثل دوركهايم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cs w:val="0"/>
          <w:lang w:val="en-US" w:eastAsia="zh-CN" w:bidi="ar"/>
        </w:rPr>
        <w:t xml:space="preserve">) 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rtl/>
          <w:cs/>
          <w:lang w:val="en-US" w:eastAsia="zh-CN" w:bidi="ar-SA"/>
        </w:rPr>
        <w:t>والماركسية الاختزالية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cs w:val="0"/>
          <w:lang w:val="en-US" w:eastAsia="zh-CN" w:bidi="ar"/>
        </w:rPr>
        <w:t>.</w:t>
      </w:r>
    </w:p>
    <w:p w14:paraId="293823EE">
      <w:pPr>
        <w:keepNext w:val="0"/>
        <w:keepLines w:val="0"/>
        <w:widowControl/>
        <w:suppressLineNumbers w:val="0"/>
        <w:jc w:val="right"/>
        <w:rPr>
          <w:rFonts w:hint="default" w:ascii="Simplified Arabic" w:hAnsi="Simplified Arabic" w:cs="Simplified Arabic"/>
          <w:sz w:val="32"/>
          <w:szCs w:val="32"/>
        </w:rPr>
      </w:pPr>
      <w:r>
        <w:rPr>
          <w:rFonts w:hint="default" w:ascii="Simplified Arabic" w:hAnsi="Simplified Arabic" w:eastAsia="SimSun" w:cs="Simplified Arabic"/>
          <w:kern w:val="0"/>
          <w:sz w:val="32"/>
          <w:szCs w:val="32"/>
          <w:rtl/>
          <w:cs/>
          <w:lang w:val="en-US" w:eastAsia="zh-CN" w:bidi="ar-SA"/>
        </w:rPr>
        <w:t>تأثر بالفكر الهيغلي والفينومينولوجيا، خاصة في تحليله للبنية الاجتماعية باعتبارها حقلًا ديناميكيًا، متعدد المستويات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cs w:val="0"/>
          <w:lang w:val="en-US" w:eastAsia="zh-CN" w:bidi="ar"/>
        </w:rPr>
        <w:t>.</w:t>
      </w:r>
    </w:p>
    <w:p w14:paraId="2FA4632E">
      <w:pPr>
        <w:keepNext w:val="0"/>
        <w:keepLines w:val="0"/>
        <w:widowControl/>
        <w:suppressLineNumbers w:val="0"/>
        <w:jc w:val="right"/>
        <w:rPr>
          <w:rFonts w:hint="default" w:ascii="Simplified Arabic" w:hAnsi="Simplified Arabic" w:cs="Simplified Arabic"/>
          <w:sz w:val="32"/>
          <w:szCs w:val="32"/>
        </w:rPr>
      </w:pPr>
    </w:p>
    <w:p w14:paraId="5A197E5F">
      <w:pPr>
        <w:keepNext w:val="0"/>
        <w:keepLines w:val="0"/>
        <w:widowControl/>
        <w:suppressLineNumbers w:val="0"/>
        <w:jc w:val="right"/>
        <w:rPr>
          <w:rFonts w:hint="default" w:ascii="Simplified Arabic" w:hAnsi="Simplified Arabic" w:cs="Simplified Arabic"/>
          <w:sz w:val="32"/>
          <w:szCs w:val="32"/>
        </w:rPr>
      </w:pPr>
    </w:p>
    <w:p w14:paraId="5F05967A">
      <w:pPr>
        <w:keepNext w:val="0"/>
        <w:keepLines w:val="0"/>
        <w:widowControl/>
        <w:suppressLineNumbers w:val="0"/>
        <w:jc w:val="right"/>
        <w:rPr>
          <w:rFonts w:hint="default" w:ascii="Simplified Arabic" w:hAnsi="Simplified Arabic" w:cs="Simplified Arabic"/>
          <w:b/>
          <w:bCs/>
          <w:sz w:val="32"/>
          <w:szCs w:val="32"/>
        </w:rPr>
      </w:pPr>
      <w:r>
        <w:rPr>
          <w:rFonts w:hint="default" w:ascii="Simplified Arabic" w:hAnsi="Simplified Arabic" w:eastAsia="SimSun" w:cs="Simplified Arabic"/>
          <w:b/>
          <w:bCs/>
          <w:kern w:val="0"/>
          <w:sz w:val="32"/>
          <w:szCs w:val="32"/>
          <w:lang w:val="en-US" w:eastAsia="zh-CN" w:bidi="ar"/>
        </w:rPr>
        <w:t xml:space="preserve">. 4. </w:t>
      </w:r>
      <w:r>
        <w:rPr>
          <w:rFonts w:hint="default" w:ascii="Simplified Arabic" w:hAnsi="Simplified Arabic" w:eastAsia="SimSun" w:cs="Simplified Arabic"/>
          <w:b/>
          <w:bCs/>
          <w:kern w:val="0"/>
          <w:sz w:val="32"/>
          <w:szCs w:val="32"/>
          <w:rtl/>
          <w:cs/>
          <w:lang w:val="en-US" w:eastAsia="zh-CN" w:bidi="ar-SA"/>
        </w:rPr>
        <w:t>أنماط الروابط الاجتماعية عند جانيبان</w:t>
      </w:r>
    </w:p>
    <w:p w14:paraId="06E41363">
      <w:pPr>
        <w:keepNext w:val="0"/>
        <w:keepLines w:val="0"/>
        <w:widowControl/>
        <w:suppressLineNumbers w:val="0"/>
        <w:jc w:val="right"/>
        <w:rPr>
          <w:rFonts w:hint="default" w:ascii="Simplified Arabic" w:hAnsi="Simplified Arabic" w:cs="Simplified Arabic"/>
          <w:sz w:val="32"/>
          <w:szCs w:val="32"/>
        </w:rPr>
      </w:pPr>
      <w:r>
        <w:rPr>
          <w:rFonts w:hint="default" w:ascii="Simplified Arabic" w:hAnsi="Simplified Arabic" w:eastAsia="SimSun" w:cs="Simplified Arabic"/>
          <w:kern w:val="0"/>
          <w:sz w:val="32"/>
          <w:szCs w:val="32"/>
          <w:rtl/>
          <w:cs/>
          <w:lang w:val="en-US" w:eastAsia="zh-CN" w:bidi="ar-SA"/>
        </w:rPr>
        <w:t>يقسّم جانيبان الروابط الاجتماعية حسب مجال تشكّلها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cs w:val="0"/>
          <w:lang w:val="en-US" w:eastAsia="zh-CN" w:bidi="ar"/>
        </w:rPr>
        <w:t>:</w:t>
      </w:r>
    </w:p>
    <w:p w14:paraId="4EB1CF35">
      <w:pPr>
        <w:keepNext w:val="0"/>
        <w:keepLines w:val="0"/>
        <w:widowControl/>
        <w:suppressLineNumbers w:val="0"/>
        <w:jc w:val="right"/>
        <w:rPr>
          <w:rFonts w:hint="default" w:ascii="Simplified Arabic" w:hAnsi="Simplified Arabic" w:cs="Simplified Arabic"/>
          <w:b/>
          <w:bCs/>
          <w:sz w:val="32"/>
          <w:szCs w:val="32"/>
        </w:rPr>
      </w:pPr>
      <w:r>
        <w:rPr>
          <w:rFonts w:hint="default" w:ascii="Simplified Arabic" w:hAnsi="Simplified Arabic" w:eastAsia="SimSun" w:cs="Simplified Arabic"/>
          <w:b/>
          <w:bCs/>
          <w:kern w:val="0"/>
          <w:sz w:val="32"/>
          <w:szCs w:val="32"/>
          <w:lang w:val="en-US" w:eastAsia="zh-CN" w:bidi="ar"/>
        </w:rPr>
        <w:t xml:space="preserve">5. </w:t>
      </w:r>
      <w:r>
        <w:rPr>
          <w:rFonts w:hint="default" w:ascii="Simplified Arabic" w:hAnsi="Simplified Arabic" w:eastAsia="SimSun" w:cs="Simplified Arabic"/>
          <w:b/>
          <w:bCs/>
          <w:kern w:val="0"/>
          <w:sz w:val="32"/>
          <w:szCs w:val="32"/>
          <w:rtl/>
          <w:cs/>
          <w:lang w:val="en-US" w:eastAsia="zh-CN" w:bidi="ar-SA"/>
        </w:rPr>
        <w:t>الرابط السوسيولوجي كمنتج للوعي الجمعي</w:t>
      </w:r>
    </w:p>
    <w:p w14:paraId="4EAA468B">
      <w:pPr>
        <w:keepNext w:val="0"/>
        <w:keepLines w:val="0"/>
        <w:widowControl/>
        <w:suppressLineNumbers w:val="0"/>
        <w:jc w:val="right"/>
        <w:rPr>
          <w:rFonts w:hint="default" w:ascii="Simplified Arabic" w:hAnsi="Simplified Arabic" w:cs="Simplified Arabic"/>
          <w:sz w:val="32"/>
          <w:szCs w:val="32"/>
        </w:rPr>
      </w:pPr>
      <w:r>
        <w:rPr>
          <w:rFonts w:hint="default" w:ascii="Simplified Arabic" w:hAnsi="Simplified Arabic" w:eastAsia="SimSun" w:cs="Simplified Arabic"/>
          <w:kern w:val="0"/>
          <w:sz w:val="32"/>
          <w:szCs w:val="32"/>
          <w:rtl/>
          <w:cs/>
          <w:lang w:val="en-US" w:eastAsia="zh-CN" w:bidi="ar-SA"/>
        </w:rPr>
        <w:t xml:space="preserve">جانيبان يعيد تعريف مفهوم 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cs w:val="0"/>
          <w:lang w:val="en-US" w:eastAsia="zh-CN" w:bidi="ar"/>
        </w:rPr>
        <w:t>"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rtl/>
          <w:cs/>
          <w:lang w:val="en-US" w:eastAsia="zh-CN" w:bidi="ar-SA"/>
        </w:rPr>
        <w:t>الوعي الجمعي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cs w:val="0"/>
          <w:lang w:val="en-US" w:eastAsia="zh-CN" w:bidi="ar"/>
        </w:rPr>
        <w:t>" (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rtl/>
          <w:cs/>
          <w:lang w:val="en-US" w:eastAsia="zh-CN" w:bidi="ar-SA"/>
        </w:rPr>
        <w:t>عند دوركهايم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cs w:val="0"/>
          <w:lang w:val="en-US" w:eastAsia="zh-CN" w:bidi="ar"/>
        </w:rPr>
        <w:t xml:space="preserve">) 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rtl/>
          <w:cs/>
          <w:lang w:val="en-US" w:eastAsia="zh-CN" w:bidi="ar-SA"/>
        </w:rPr>
        <w:t>ضمن إطار أكثر تعقيدًا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cs w:val="0"/>
          <w:lang w:val="en-US" w:eastAsia="zh-CN" w:bidi="ar"/>
        </w:rPr>
        <w:t>:</w:t>
      </w:r>
    </w:p>
    <w:p w14:paraId="5D1421AA">
      <w:pPr>
        <w:keepNext w:val="0"/>
        <w:keepLines w:val="0"/>
        <w:widowControl/>
        <w:suppressLineNumbers w:val="0"/>
        <w:jc w:val="right"/>
        <w:rPr>
          <w:rFonts w:hint="default" w:ascii="Simplified Arabic" w:hAnsi="Simplified Arabic" w:cs="Simplified Arabic"/>
          <w:sz w:val="32"/>
          <w:szCs w:val="32"/>
        </w:rPr>
      </w:pPr>
      <w:r>
        <w:rPr>
          <w:rFonts w:hint="default" w:ascii="Simplified Arabic" w:hAnsi="Simplified Arabic" w:eastAsia="SimSun" w:cs="Simplified Arabic"/>
          <w:kern w:val="0"/>
          <w:sz w:val="32"/>
          <w:szCs w:val="32"/>
          <w:rtl/>
          <w:cs/>
          <w:lang w:val="en-US" w:eastAsia="zh-CN" w:bidi="ar-SA"/>
        </w:rPr>
        <w:t>ليس وعيًا موحدًا بل وعيًا متعددًا، ينبثق من تفاعل الروابط وتداخلها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cs w:val="0"/>
          <w:lang w:val="en-US" w:eastAsia="zh-CN" w:bidi="ar"/>
        </w:rPr>
        <w:t>.</w:t>
      </w:r>
    </w:p>
    <w:p w14:paraId="2AB8D028">
      <w:pPr>
        <w:keepNext w:val="0"/>
        <w:keepLines w:val="0"/>
        <w:widowControl/>
        <w:suppressLineNumbers w:val="0"/>
        <w:jc w:val="right"/>
        <w:rPr>
          <w:rFonts w:hint="default" w:ascii="Simplified Arabic" w:hAnsi="Simplified Arabic" w:cs="Simplified Arabic"/>
          <w:sz w:val="32"/>
          <w:szCs w:val="32"/>
        </w:rPr>
      </w:pPr>
      <w:r>
        <w:rPr>
          <w:rFonts w:hint="default" w:ascii="Simplified Arabic" w:hAnsi="Simplified Arabic" w:eastAsia="SimSun" w:cs="Simplified Arabic"/>
          <w:kern w:val="0"/>
          <w:sz w:val="32"/>
          <w:szCs w:val="32"/>
          <w:rtl/>
          <w:cs/>
          <w:lang w:val="en-US" w:eastAsia="zh-CN" w:bidi="ar-SA"/>
        </w:rPr>
        <w:t>يرتبط بـ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cs w:val="0"/>
          <w:lang w:val="en-US" w:eastAsia="zh-CN" w:bidi="ar"/>
        </w:rPr>
        <w:t>"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rtl/>
          <w:cs/>
          <w:lang w:val="en-US" w:eastAsia="zh-CN" w:bidi="ar-SA"/>
        </w:rPr>
        <w:t>الإبداع التاريخي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cs w:val="0"/>
          <w:lang w:val="en-US" w:eastAsia="zh-CN" w:bidi="ar"/>
        </w:rPr>
        <w:t>"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rtl/>
          <w:cs/>
          <w:lang w:val="en-US" w:eastAsia="zh-CN" w:bidi="ar-SA"/>
        </w:rPr>
        <w:t>، أي أن المجتمعات تنتج وعيها من خلال خيالها الاجتماعي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cs w:val="0"/>
          <w:lang w:val="en-US" w:eastAsia="zh-CN" w:bidi="ar"/>
        </w:rPr>
        <w:t>.</w:t>
      </w:r>
    </w:p>
    <w:p w14:paraId="1C23DB7B">
      <w:pPr>
        <w:keepNext w:val="0"/>
        <w:keepLines w:val="0"/>
        <w:widowControl/>
        <w:suppressLineNumbers w:val="0"/>
        <w:jc w:val="right"/>
        <w:rPr>
          <w:rFonts w:hint="default" w:ascii="Simplified Arabic" w:hAnsi="Simplified Arabic" w:cs="Simplified Arabic"/>
          <w:sz w:val="32"/>
          <w:szCs w:val="32"/>
        </w:rPr>
      </w:pPr>
      <w:r>
        <w:rPr>
          <w:rFonts w:hint="default" w:ascii="Simplified Arabic" w:hAnsi="Simplified Arabic" w:eastAsia="SimSun" w:cs="Simplified Arabic"/>
          <w:kern w:val="0"/>
          <w:sz w:val="32"/>
          <w:szCs w:val="32"/>
          <w:lang w:val="en-US" w:eastAsia="zh-CN" w:bidi="ar"/>
        </w:rPr>
        <w:t>&gt; "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rtl/>
          <w:cs/>
          <w:lang w:val="en-US" w:eastAsia="zh-CN" w:bidi="ar-SA"/>
        </w:rPr>
        <w:t>الوعي الجمعي ليس معطى نهائي، بل يُعاد إنتاجه عبر الروابط المتداخلة التي تعكس صراعات الجماعة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cs w:val="0"/>
          <w:lang w:val="en-US" w:eastAsia="zh-CN" w:bidi="ar"/>
        </w:rPr>
        <w:t>."</w:t>
      </w:r>
    </w:p>
    <w:p w14:paraId="4F56C77B">
      <w:pPr>
        <w:keepNext w:val="0"/>
        <w:keepLines w:val="0"/>
        <w:widowControl/>
        <w:suppressLineNumbers w:val="0"/>
        <w:jc w:val="right"/>
        <w:rPr>
          <w:rFonts w:hint="default" w:ascii="Simplified Arabic" w:hAnsi="Simplified Arabic" w:cs="Simplified Arabic"/>
          <w:sz w:val="32"/>
          <w:szCs w:val="32"/>
        </w:rPr>
      </w:pPr>
      <w:r>
        <w:rPr>
          <w:rFonts w:hint="default" w:ascii="Simplified Arabic" w:hAnsi="Simplified Arabic" w:eastAsia="SimSun" w:cs="Simplified Arabic"/>
          <w:kern w:val="0"/>
          <w:sz w:val="32"/>
          <w:szCs w:val="32"/>
          <w:lang w:val="en-US" w:eastAsia="zh-CN" w:bidi="ar"/>
        </w:rPr>
        <w:t>(Gurvitch, La vocation actuelle, vol. 2, p. 204)</w:t>
      </w:r>
    </w:p>
    <w:p w14:paraId="5D327525">
      <w:pPr>
        <w:keepNext w:val="0"/>
        <w:keepLines w:val="0"/>
        <w:widowControl/>
        <w:suppressLineNumbers w:val="0"/>
        <w:jc w:val="right"/>
        <w:rPr>
          <w:rFonts w:hint="default" w:cs="Times New Roman"/>
          <w:b/>
          <w:bCs/>
          <w:sz w:val="21"/>
          <w:szCs w:val="21"/>
          <w:lang w:val="en-US" w:bidi="ar-DZ"/>
        </w:rPr>
      </w:pPr>
      <w:r>
        <w:rPr>
          <w:rFonts w:hint="cs" w:ascii="SimSun" w:hAnsi="SimSun" w:eastAsia="SimSun" w:cs="Times New Roman"/>
          <w:b/>
          <w:bCs/>
          <w:kern w:val="0"/>
          <w:sz w:val="28"/>
          <w:szCs w:val="28"/>
          <w:rtl/>
          <w:cs w:val="0"/>
          <w:lang w:val="en-US" w:eastAsia="zh-CN" w:bidi="ar-DZ"/>
        </w:rPr>
        <w:t>خلاصة:</w:t>
      </w:r>
    </w:p>
    <w:p w14:paraId="01D14F73">
      <w:pPr>
        <w:keepNext w:val="0"/>
        <w:keepLines w:val="0"/>
        <w:widowControl/>
        <w:suppressLineNumbers w:val="0"/>
        <w:jc w:val="right"/>
        <w:rPr>
          <w:sz w:val="24"/>
          <w:szCs w:val="24"/>
        </w:rPr>
      </w:pPr>
      <w:r>
        <w:rPr>
          <w:rFonts w:hint="default" w:ascii="Simplified Arabic" w:hAnsi="Simplified Arabic" w:eastAsia="SimSun" w:cs="Simplified Arabic"/>
          <w:kern w:val="0"/>
          <w:sz w:val="32"/>
          <w:szCs w:val="32"/>
          <w:rtl/>
          <w:cs/>
          <w:lang w:val="en-US" w:eastAsia="zh-CN" w:bidi="ar-SA"/>
        </w:rPr>
        <w:t>جورج جانيبان يُقدّم تصور</w:t>
      </w:r>
      <w:r>
        <w:rPr>
          <w:rFonts w:hint="cs" w:ascii="Simplified Arabic" w:hAnsi="Simplified Arabic" w:eastAsia="SimSun" w:cs="Simplified Arabic"/>
          <w:kern w:val="0"/>
          <w:sz w:val="32"/>
          <w:szCs w:val="32"/>
          <w:rtl/>
          <w:cs w:val="0"/>
          <w:lang w:val="en-US" w:eastAsia="zh-CN" w:bidi="ar-DZ"/>
        </w:rPr>
        <w:t>ا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rtl/>
          <w:cs/>
          <w:lang w:val="en-US" w:eastAsia="zh-CN" w:bidi="ar-SA"/>
        </w:rPr>
        <w:t xml:space="preserve"> غني</w:t>
      </w:r>
      <w:r>
        <w:rPr>
          <w:rFonts w:hint="cs" w:ascii="Simplified Arabic" w:hAnsi="Simplified Arabic" w:eastAsia="SimSun" w:cs="Simplified Arabic"/>
          <w:kern w:val="0"/>
          <w:sz w:val="32"/>
          <w:szCs w:val="32"/>
          <w:rtl/>
          <w:cs w:val="0"/>
          <w:lang w:val="en-US" w:eastAsia="zh-CN" w:bidi="ar-DZ"/>
        </w:rPr>
        <w:t>ا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rtl/>
          <w:cs/>
          <w:lang w:val="en-US" w:eastAsia="zh-CN" w:bidi="ar-SA"/>
        </w:rPr>
        <w:t xml:space="preserve"> ومرك</w:t>
      </w:r>
      <w:r>
        <w:rPr>
          <w:rFonts w:hint="cs" w:ascii="Simplified Arabic" w:hAnsi="Simplified Arabic" w:eastAsia="SimSun" w:cs="Simplified Arabic"/>
          <w:kern w:val="0"/>
          <w:sz w:val="32"/>
          <w:szCs w:val="32"/>
          <w:rtl/>
          <w:cs w:val="0"/>
          <w:lang w:val="en-US" w:eastAsia="zh-CN" w:bidi="ar-DZ"/>
        </w:rPr>
        <w:t>با</w:t>
      </w:r>
      <w:bookmarkStart w:id="0" w:name="_GoBack"/>
      <w:bookmarkEnd w:id="0"/>
      <w:r>
        <w:rPr>
          <w:rFonts w:hint="default" w:ascii="Simplified Arabic" w:hAnsi="Simplified Arabic" w:eastAsia="SimSun" w:cs="Simplified Arabic"/>
          <w:kern w:val="0"/>
          <w:sz w:val="32"/>
          <w:szCs w:val="32"/>
          <w:rtl/>
          <w:cs/>
          <w:lang w:val="en-US" w:eastAsia="zh-CN" w:bidi="ar-SA"/>
        </w:rPr>
        <w:t xml:space="preserve"> للرابط السوسيولوجي، يتجاوز التصنيفات الكلاسيكية ليُبيّن أن المجتمع ليس بناءً جاهزًا، بل عملية مستمرة من التفاعل والصراع الرمزي والقيمي</w:t>
      </w:r>
      <w:r>
        <w:rPr>
          <w:rFonts w:ascii="SimSun" w:hAnsi="SimSun" w:eastAsia="SimSun" w:cs="SimSun"/>
          <w:kern w:val="0"/>
          <w:sz w:val="36"/>
          <w:szCs w:val="36"/>
          <w:cs w:val="0"/>
          <w:lang w:val="en-US" w:eastAsia="zh-CN" w:bidi="ar"/>
        </w:rPr>
        <w:t>.</w:t>
      </w:r>
    </w:p>
    <w:p w14:paraId="16ADF9F5">
      <w:pPr>
        <w:keepNext w:val="0"/>
        <w:keepLines w:val="0"/>
        <w:widowControl/>
        <w:suppressLineNumbers w:val="0"/>
        <w:jc w:val="right"/>
        <w:rPr>
          <w:rFonts w:hint="cs" w:ascii="Simplified Arabic" w:hAnsi="Simplified Arabic" w:eastAsia="SimSun" w:cs="Simplified Arabic"/>
          <w:b/>
          <w:bCs/>
          <w:kern w:val="0"/>
          <w:sz w:val="32"/>
          <w:szCs w:val="32"/>
          <w:rtl/>
          <w:lang w:val="en-US" w:eastAsia="zh-CN" w:bidi="ar-DZ"/>
        </w:rPr>
      </w:pPr>
      <w:r>
        <w:rPr>
          <w:rFonts w:hint="cs" w:ascii="Simplified Arabic" w:hAnsi="Simplified Arabic" w:eastAsia="SimSun" w:cs="Simplified Arabic"/>
          <w:b/>
          <w:bCs/>
          <w:kern w:val="0"/>
          <w:sz w:val="32"/>
          <w:szCs w:val="32"/>
          <w:rtl/>
          <w:lang w:val="en-US" w:eastAsia="zh-CN" w:bidi="ar-DZ"/>
        </w:rPr>
        <w:t>المراجع ولمصادر</w:t>
      </w:r>
    </w:p>
    <w:p w14:paraId="65618BD3">
      <w:pPr>
        <w:keepNext w:val="0"/>
        <w:keepLines w:val="0"/>
        <w:widowControl/>
        <w:suppressLineNumbers w:val="0"/>
        <w:jc w:val="right"/>
        <w:rPr>
          <w:rFonts w:hint="default" w:ascii="Simplified Arabic" w:hAnsi="Simplified Arabic" w:cs="Simplified Arabic"/>
          <w:sz w:val="32"/>
          <w:szCs w:val="32"/>
        </w:rPr>
      </w:pPr>
      <w:r>
        <w:rPr>
          <w:rFonts w:hint="default" w:ascii="Simplified Arabic" w:hAnsi="Simplified Arabic" w:eastAsia="SimSun" w:cs="Simplified Arabic"/>
          <w:kern w:val="0"/>
          <w:sz w:val="32"/>
          <w:szCs w:val="32"/>
          <w:lang w:val="en-US" w:eastAsia="zh-CN" w:bidi="ar"/>
        </w:rPr>
        <w:t>Gurvitch, Georges. La vocation actuelle de la sociologie, Paris: PUF, 1950.</w:t>
      </w:r>
    </w:p>
    <w:p w14:paraId="2892A182">
      <w:pPr>
        <w:keepNext w:val="0"/>
        <w:keepLines w:val="0"/>
        <w:widowControl/>
        <w:suppressLineNumbers w:val="0"/>
        <w:jc w:val="right"/>
        <w:rPr>
          <w:rFonts w:hint="default" w:ascii="Simplified Arabic" w:hAnsi="Simplified Arabic" w:cs="Simplified Arabic"/>
          <w:sz w:val="32"/>
          <w:szCs w:val="32"/>
        </w:rPr>
      </w:pPr>
      <w:r>
        <w:rPr>
          <w:rFonts w:hint="default" w:ascii="Simplified Arabic" w:hAnsi="Simplified Arabic" w:eastAsia="SimSun" w:cs="Simplified Arabic"/>
          <w:kern w:val="0"/>
          <w:sz w:val="32"/>
          <w:szCs w:val="32"/>
          <w:lang w:val="en-US" w:eastAsia="zh-CN" w:bidi="ar"/>
        </w:rPr>
        <w:t>Gurvitch, Georges. Les cadres sociaux de la connaissance, Paris: PUF, 1953.</w:t>
      </w:r>
    </w:p>
    <w:p w14:paraId="1200FD7A">
      <w:pPr>
        <w:keepNext w:val="0"/>
        <w:keepLines w:val="0"/>
        <w:widowControl/>
        <w:suppressLineNumbers w:val="0"/>
        <w:jc w:val="right"/>
        <w:rPr>
          <w:rFonts w:hint="default" w:ascii="Simplified Arabic" w:hAnsi="Simplified Arabic" w:cs="Simplified Arabic"/>
          <w:sz w:val="32"/>
          <w:szCs w:val="32"/>
          <w:rtl/>
          <w:cs w:val="0"/>
          <w:lang w:val="en-US" w:eastAsia="zh-CN"/>
        </w:rPr>
      </w:pPr>
      <w:r>
        <w:rPr>
          <w:rFonts w:hint="default" w:ascii="Simplified Arabic" w:hAnsi="Simplified Arabic" w:eastAsia="SimSun" w:cs="Simplified Arabic"/>
          <w:kern w:val="0"/>
          <w:sz w:val="32"/>
          <w:szCs w:val="32"/>
          <w:lang w:val="en-US" w:eastAsia="zh-CN" w:bidi="ar"/>
        </w:rPr>
        <w:t>Gurvitch, Georges. Le concept de classes sociales, Paris: Flammarion, 1958.</w:t>
      </w:r>
    </w:p>
    <w:sectPr>
      <w:headerReference r:id="rId3" w:type="default"/>
      <w:footerReference r:id="rId4" w:type="default"/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Simplified Arabic">
    <w:panose1 w:val="02020603050405020304"/>
    <w:charset w:val="00"/>
    <w:family w:val="auto"/>
    <w:pitch w:val="default"/>
    <w:sig w:usb0="00002003" w:usb1="00000000" w:usb2="00000000" w:usb3="00000000" w:csb0="00000041" w:csb1="2008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5E0814">
    <w:pPr>
      <w:pStyle w:val="8"/>
      <w:jc w:val="right"/>
      <w:rPr>
        <w:rFonts w:hint="default" w:cstheme="minorBidi"/>
        <w:b/>
        <w:bCs/>
        <w:sz w:val="32"/>
        <w:szCs w:val="32"/>
        <w:u w:val="single"/>
        <w:lang w:val="en-US" w:bidi="ar-DZ"/>
      </w:rPr>
    </w:pPr>
    <w:r>
      <w:rPr>
        <w:sz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Zone de text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35B2D6E">
                          <w:pPr>
                            <w:pStyle w:val="8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LNJWO7QAAAA&#10;BQEAAA8AAAAAAAAAAQAgAAAAIgAAAGRycy9kb3ducmV2LnhtbFBLAQIUABQAAAAIAIdO4kAgoG+E&#10;JQIAAGUEAAAOAAAAAAAAAAEAIAAAAB8BAABkcnMvZTJvRG9jLnhtbFBLBQYAAAAABgAGAFkBAAC2&#10;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35B2D6E">
                    <w:pPr>
                      <w:pStyle w:val="8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cs" w:cstheme="minorBidi"/>
        <w:b/>
        <w:bCs/>
        <w:sz w:val="32"/>
        <w:szCs w:val="32"/>
        <w:u w:val="single"/>
        <w:rtl/>
        <w:lang w:bidi="ar-DZ"/>
      </w:rPr>
      <w:t>الأستاذة</w:t>
    </w:r>
    <w:r>
      <w:rPr>
        <w:rFonts w:hint="cs" w:cstheme="minorBidi"/>
        <w:b/>
        <w:bCs/>
        <w:sz w:val="32"/>
        <w:szCs w:val="32"/>
        <w:u w:val="single"/>
        <w:rtl/>
        <w:lang w:val="en-US" w:bidi="ar-DZ"/>
      </w:rPr>
      <w:t xml:space="preserve"> صباح غربي                                                                          سنة ثانية علم الاجتماع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488A3C">
    <w:pPr>
      <w:pStyle w:val="9"/>
      <w:rPr>
        <w:rFonts w:hint="default" w:cstheme="minorBidi"/>
        <w:b/>
        <w:bCs/>
        <w:sz w:val="36"/>
        <w:szCs w:val="36"/>
        <w:u w:val="single"/>
        <w:lang w:val="en-US" w:bidi="ar-DZ"/>
      </w:rPr>
    </w:pPr>
    <w:r>
      <w:rPr>
        <w:sz w:val="36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0</wp:posOffset>
              </wp:positionH>
              <wp:positionV relativeFrom="paragraph">
                <wp:posOffset>-10160</wp:posOffset>
              </wp:positionV>
              <wp:extent cx="327025" cy="224790"/>
              <wp:effectExtent l="0" t="0" r="0" b="0"/>
              <wp:wrapNone/>
              <wp:docPr id="2" name="Zone de text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7025" cy="22479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403A770">
                          <w:pPr>
                            <w:pStyle w:val="9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0pt;margin-top:-0.8pt;height:17.7pt;width:25.75pt;mso-position-horizontal-relative:margin;z-index:251659264;mso-width-relative:page;mso-height-relative:page;" filled="f" stroked="f" coordsize="21600,21600" o:gfxdata="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B4PrQs1QAAAAUBAAAPAAAAAAAAAAEAIAAAACIAAABkcnMvZG93bnJldi54bWxQSwECFAAU&#10;AAAACACHTuJArISbhy0CAABlBAAADgAAAAAAAAABACAAAAAk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6403A770">
                    <w:pPr>
                      <w:pStyle w:val="9"/>
                      <w:rPr>
                        <w:sz w:val="20"/>
                        <w:szCs w:val="20"/>
                      </w:rPr>
                    </w:pPr>
                    <w:r>
                      <w:rPr>
                        <w:b/>
                        <w:bCs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t>1</w:t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cs" w:cstheme="minorBidi"/>
        <w:b/>
        <w:bCs/>
        <w:sz w:val="36"/>
        <w:szCs w:val="36"/>
        <w:u w:val="single"/>
        <w:rtl/>
        <w:lang w:bidi="ar-DZ"/>
      </w:rPr>
      <w:t>محاضرات</w:t>
    </w:r>
    <w:r>
      <w:rPr>
        <w:rFonts w:hint="cs" w:cstheme="minorBidi"/>
        <w:b/>
        <w:bCs/>
        <w:sz w:val="36"/>
        <w:szCs w:val="36"/>
        <w:u w:val="single"/>
        <w:rtl/>
        <w:lang w:val="en-US" w:bidi="ar-DZ"/>
      </w:rPr>
      <w:t xml:space="preserve">  مقياس سوسيولوجيا الرابط الاجتماعي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9ED1EA4"/>
    <w:rsid w:val="003617E6"/>
    <w:rsid w:val="00A80820"/>
    <w:rsid w:val="01991C99"/>
    <w:rsid w:val="066C2FB7"/>
    <w:rsid w:val="072D05BF"/>
    <w:rsid w:val="09F25085"/>
    <w:rsid w:val="0B7675C6"/>
    <w:rsid w:val="0BE8202C"/>
    <w:rsid w:val="11312C70"/>
    <w:rsid w:val="154A4368"/>
    <w:rsid w:val="185E54BE"/>
    <w:rsid w:val="23873951"/>
    <w:rsid w:val="26671392"/>
    <w:rsid w:val="27C81442"/>
    <w:rsid w:val="28090DA6"/>
    <w:rsid w:val="28CF30F5"/>
    <w:rsid w:val="2A347911"/>
    <w:rsid w:val="2B7D2401"/>
    <w:rsid w:val="2BDD4E3F"/>
    <w:rsid w:val="301861D8"/>
    <w:rsid w:val="31994809"/>
    <w:rsid w:val="34627E68"/>
    <w:rsid w:val="38555B37"/>
    <w:rsid w:val="3B9D67C2"/>
    <w:rsid w:val="41C218EF"/>
    <w:rsid w:val="429A3B51"/>
    <w:rsid w:val="42BF1B92"/>
    <w:rsid w:val="42F113B4"/>
    <w:rsid w:val="43441DEB"/>
    <w:rsid w:val="43A46613"/>
    <w:rsid w:val="43F87100"/>
    <w:rsid w:val="4D097ACB"/>
    <w:rsid w:val="4E8D77C9"/>
    <w:rsid w:val="4EED0807"/>
    <w:rsid w:val="544E367D"/>
    <w:rsid w:val="55EC6528"/>
    <w:rsid w:val="59ED1EA4"/>
    <w:rsid w:val="60D11363"/>
    <w:rsid w:val="63700431"/>
    <w:rsid w:val="644D3B44"/>
    <w:rsid w:val="6A5A5A31"/>
    <w:rsid w:val="70DB0969"/>
    <w:rsid w:val="71704262"/>
    <w:rsid w:val="72601FB5"/>
    <w:rsid w:val="73306F67"/>
    <w:rsid w:val="741267AD"/>
    <w:rsid w:val="77E31167"/>
    <w:rsid w:val="7F2D3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Balloon Text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36"/>
      <w:szCs w:val="36"/>
      <w:lang w:val="en-US" w:eastAsia="zh-CN" w:bidi="ar"/>
    </w:rPr>
  </w:style>
  <w:style w:type="paragraph" w:styleId="3">
    <w:name w:val="heading 3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26"/>
      <w:szCs w:val="26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Strong"/>
    <w:qFormat/>
    <w:uiPriority w:val="0"/>
    <w:rPr>
      <w:b/>
      <w:bCs/>
    </w:rPr>
  </w:style>
  <w:style w:type="character" w:styleId="6">
    <w:name w:val="Emphasis"/>
    <w:qFormat/>
    <w:uiPriority w:val="0"/>
    <w:rPr>
      <w:i/>
      <w:iCs/>
    </w:rPr>
  </w:style>
  <w:style w:type="paragraph" w:styleId="7">
    <w:name w:val="Normal (Web)"/>
    <w:uiPriority w:val="0"/>
    <w:pPr>
      <w:spacing w:before="0" w:beforeAutospacing="1" w:after="0" w:afterAutospacing="1"/>
      <w:ind w:left="0" w:right="0"/>
      <w:jc w:val="left"/>
    </w:pPr>
    <w:rPr>
      <w:rFonts w:ascii="Times New Roman" w:hAnsi="Times New Roman" w:eastAsia="SimSun" w:cs="Times New Roman"/>
      <w:kern w:val="0"/>
      <w:sz w:val="24"/>
      <w:szCs w:val="24"/>
      <w:lang w:val="en-US" w:eastAsia="zh-CN" w:bidi="ar"/>
    </w:r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7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2025-01-31T16:31:00Z</dcterms:created>
  <dc:creator>User</dc:creator>
  <cp:lastModifiedBy>User</cp:lastModifiedBy>
  <cp:lastPrinted>2025-04-27T19:51:00Z</cp:lastPrinted>
  <dcterms:modified xsi:type="dcterms:W3CDTF">2026-04-12T10:00:01Z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1036-12.2.0.23196</vt:lpwstr>
  </property>
  <property fmtid="{D5CDD505-2E9C-101B-9397-08002B2CF9AE}" pid="3" name="ICV">
    <vt:lpwstr>FFEDC0DCE9D84A57A046552C4876C641_13</vt:lpwstr>
  </property>
</Properties>
</file>