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29A" w:rsidRPr="00C81E8F" w:rsidRDefault="00AE729A" w:rsidP="00AE729A">
      <w:pPr>
        <w:ind w:firstLine="566"/>
        <w:jc w:val="lowKashida"/>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rtl/>
          <w:lang w:bidi="ar-DZ"/>
        </w:rPr>
        <w:t>المقياس: فلسفة التاريخ</w:t>
      </w:r>
    </w:p>
    <w:p w:rsidR="00AE729A" w:rsidRPr="00C81E8F" w:rsidRDefault="00AE729A" w:rsidP="00AE729A">
      <w:pPr>
        <w:ind w:firstLine="566"/>
        <w:jc w:val="lowKashida"/>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rtl/>
          <w:lang w:bidi="ar-DZ"/>
        </w:rPr>
        <w:t>المستوى: الثانية فلسفة /ليسانس</w:t>
      </w:r>
    </w:p>
    <w:p w:rsidR="00AE729A" w:rsidRPr="00C81E8F" w:rsidRDefault="00AF1856" w:rsidP="00AE729A">
      <w:pPr>
        <w:ind w:firstLine="566"/>
        <w:jc w:val="lowKashida"/>
        <w:rPr>
          <w:rFonts w:ascii="Traditional Arabic" w:hAnsi="Traditional Arabic" w:cs="Traditional Arabic"/>
          <w:b/>
          <w:bCs/>
          <w:sz w:val="32"/>
          <w:szCs w:val="32"/>
          <w:rtl/>
          <w:lang w:bidi="ar-DZ"/>
        </w:rPr>
      </w:pPr>
      <w:r>
        <w:rPr>
          <w:rFonts w:ascii="Traditional Arabic" w:hAnsi="Traditional Arabic" w:cs="Traditional Arabic"/>
          <w:b/>
          <w:bCs/>
          <w:sz w:val="32"/>
          <w:szCs w:val="32"/>
          <w:lang w:bidi="ar-DZ"/>
        </w:rPr>
        <w:t xml:space="preserve"> </w:t>
      </w:r>
    </w:p>
    <w:p w:rsidR="00C17093" w:rsidRDefault="00AE729A" w:rsidP="00AE729A">
      <w:pPr>
        <w:jc w:val="center"/>
        <w:rPr>
          <w:rtl/>
        </w:rPr>
      </w:pPr>
      <w:r w:rsidRPr="00C81E8F">
        <w:rPr>
          <w:rFonts w:ascii="Traditional Arabic" w:hAnsi="Traditional Arabic" w:cs="Traditional Arabic"/>
          <w:b/>
          <w:bCs/>
          <w:sz w:val="32"/>
          <w:szCs w:val="32"/>
          <w:u w:val="single"/>
          <w:rtl/>
          <w:lang w:bidi="ar-DZ"/>
        </w:rPr>
        <w:t xml:space="preserve">المحاضرة </w:t>
      </w:r>
      <w:r>
        <w:rPr>
          <w:rFonts w:ascii="Traditional Arabic" w:hAnsi="Traditional Arabic" w:cs="Traditional Arabic" w:hint="cs"/>
          <w:b/>
          <w:bCs/>
          <w:sz w:val="32"/>
          <w:szCs w:val="32"/>
          <w:u w:val="single"/>
          <w:rtl/>
          <w:lang w:bidi="ar-DZ"/>
        </w:rPr>
        <w:t>الثالثة</w:t>
      </w:r>
    </w:p>
    <w:p w:rsidR="00AE729A" w:rsidRDefault="00AE729A" w:rsidP="00AE729A"/>
    <w:p w:rsidR="00AE729A" w:rsidRPr="005035FB" w:rsidRDefault="00AE729A" w:rsidP="00AE729A">
      <w:pPr>
        <w:jc w:val="center"/>
        <w:rPr>
          <w:rFonts w:ascii="Traditional Arabic" w:hAnsi="Traditional Arabic" w:cs="Traditional Arabic"/>
          <w:sz w:val="32"/>
          <w:szCs w:val="32"/>
          <w:u w:val="single"/>
          <w:rtl/>
          <w:lang w:val="fr-FR" w:bidi="ar-DZ"/>
        </w:rPr>
      </w:pPr>
      <w:r w:rsidRPr="005035FB">
        <w:rPr>
          <w:rFonts w:ascii="Traditional Arabic" w:hAnsi="Traditional Arabic" w:cs="Traditional Arabic"/>
          <w:b/>
          <w:bCs/>
          <w:sz w:val="32"/>
          <w:szCs w:val="32"/>
          <w:u w:val="single"/>
          <w:rtl/>
          <w:lang w:val="fr-FR" w:bidi="ar-DZ"/>
        </w:rPr>
        <w:t>نظرية العناية الالهية كتفسير للتطور التاريخي</w:t>
      </w:r>
    </w:p>
    <w:p w:rsidR="00AE729A" w:rsidRPr="005035FB" w:rsidRDefault="00AE729A" w:rsidP="00AE729A">
      <w:pPr>
        <w:rPr>
          <w:rFonts w:ascii="Traditional Arabic" w:hAnsi="Traditional Arabic" w:cs="Traditional Arabic"/>
          <w:sz w:val="32"/>
          <w:szCs w:val="32"/>
          <w:rtl/>
          <w:lang w:val="fr-FR" w:bidi="ar-DZ"/>
        </w:rPr>
      </w:pPr>
      <w:r w:rsidRPr="005035FB">
        <w:rPr>
          <w:rFonts w:ascii="Traditional Arabic" w:hAnsi="Traditional Arabic" w:cs="Traditional Arabic"/>
          <w:sz w:val="32"/>
          <w:szCs w:val="32"/>
          <w:rtl/>
          <w:lang w:val="fr-FR" w:bidi="ar-DZ"/>
        </w:rPr>
        <w:t xml:space="preserve">    لقد ظهر عدد  من المفكرين على مر الزمن، حاولوا تقديم تفسيرات لمسار التاريخ ,وتعليل ضرورته وربما من أقدم تلك المحاولات الفكرية محاولة تفسير التاريخ برده إلى ما اصطلح عليه " العناية الإلهية " التي يعتقد أنها ذات تأثير بالغ على مجرى الأحداث التاريخية ،فما حقيقتها ؟وكيف يأثر الدين واللاهوت في تحريك عجلة التاريخ؟ ومن هم رواد هذه النظرية ؟ وما هي حججهم ومبرراتهم ؟ </w:t>
      </w:r>
    </w:p>
    <w:p w:rsidR="00AE729A" w:rsidRPr="00C81E8F" w:rsidRDefault="00AE729A" w:rsidP="00AF1856">
      <w:pPr>
        <w:rPr>
          <w:rFonts w:ascii="Traditional Arabic" w:hAnsi="Traditional Arabic" w:cs="Traditional Arabic"/>
          <w:sz w:val="32"/>
          <w:szCs w:val="32"/>
          <w:rtl/>
          <w:lang w:val="fr-FR" w:bidi="ar-DZ"/>
        </w:rPr>
      </w:pPr>
      <w:r w:rsidRPr="005035FB">
        <w:rPr>
          <w:rFonts w:ascii="Traditional Arabic" w:hAnsi="Traditional Arabic" w:cs="Traditional Arabic"/>
          <w:sz w:val="32"/>
          <w:szCs w:val="32"/>
          <w:rtl/>
          <w:lang w:val="fr-FR" w:bidi="ar-DZ"/>
        </w:rPr>
        <w:t xml:space="preserve">     قبل كل ذلك ،نود تحديد معنى "نظرية العناية الإلهية " فنقول  أن فكرة العناية الإلهية من المعتقدات القديمة التي كشف البحث أنها قد سادت في التفكير القديم، وعرفتها شعوب كثيرة كالمصريين الذين آمنوا بمدى تأثير الفرعون والآلهة المصرية في تغير الواقع والتاريخ , ونفس الشيء يقال عن الأشوريين وقدماء اليونان والرومان وغيرهم </w:t>
      </w:r>
      <w:r>
        <w:rPr>
          <w:rFonts w:ascii="Traditional Arabic" w:hAnsi="Traditional Arabic" w:cs="Traditional Arabic"/>
          <w:sz w:val="32"/>
          <w:szCs w:val="32"/>
          <w:lang w:val="fr-FR" w:bidi="ar-DZ"/>
        </w:rPr>
        <w:t xml:space="preserve"> </w:t>
      </w:r>
      <w:r w:rsidRPr="005035FB">
        <w:rPr>
          <w:rFonts w:ascii="Traditional Arabic" w:hAnsi="Traditional Arabic" w:cs="Traditional Arabic"/>
          <w:sz w:val="32"/>
          <w:szCs w:val="32"/>
          <w:rtl/>
          <w:lang w:val="fr-FR" w:bidi="ar-DZ"/>
        </w:rPr>
        <w:t>ومفاد هذه النظرية أن الكون بمختلف ظواهره حتى الإنسان ،تسري عليه قوانين إلهية متعالية مقدسة تتحكم فيه كلية ،فلا مجال للصدفة ولا للعشوائية أو الحظ ،وبذلك فأحداث التاريخ كذلك تخضع لإرادة الله فهي غ</w:t>
      </w:r>
      <w:r w:rsidRPr="00C81E8F">
        <w:rPr>
          <w:rFonts w:ascii="Traditional Arabic" w:hAnsi="Traditional Arabic" w:cs="Traditional Arabic"/>
          <w:sz w:val="32"/>
          <w:szCs w:val="32"/>
          <w:rtl/>
          <w:lang w:val="fr-FR" w:bidi="ar-DZ"/>
        </w:rPr>
        <w:t>ير متعاقبة ولا تكرارية بل تسير في شكل مستقيم ،وإرادة الإنسان متضمنة في الإرادة الإلهية وأفعاله كذلك فلا مجال للاختيار الحر , ولا لتغليب أفعال الإنسان وطاقته على إرادة ومشيئة الله .                                                                                                        سادت هذه الأفكار في الفكر المسيحي والإسلامي على سواء ،لكنها في المسيحية أشد ترسخا لأنها اعتبرت المشيئة الإلهية إحدى سماتها , حيث أغفلت خلال العصور الوسطى المسيحية حرية الإنسان العقلية والفاعلة، وسيطر الفكر اللاهوتي بجبريته على كل مجالات الفكر والمعرفة مع التسليم بالقدر والخضوع المطلق له, بما في ذلك ما يطرأ من أحداث وتغيرات على التاريخ ومساره وتفسيره ، فالله هو الفاعل ،فكيف نظرت المسيحية إلى بداية ومسار التاريخ؟ ومن هو محركه ؟وما هي نهايته؟</w:t>
      </w:r>
    </w:p>
    <w:p w:rsidR="00AE729A" w:rsidRPr="00C81E8F" w:rsidRDefault="00AE729A" w:rsidP="00AE729A">
      <w:pPr>
        <w:rPr>
          <w:rFonts w:ascii="Traditional Arabic" w:hAnsi="Traditional Arabic" w:cs="Traditional Arabic"/>
          <w:b/>
          <w:bCs/>
          <w:sz w:val="32"/>
          <w:szCs w:val="32"/>
          <w:rtl/>
          <w:lang w:val="fr-FR" w:bidi="ar-DZ"/>
        </w:rPr>
      </w:pPr>
      <w:r w:rsidRPr="00C81E8F">
        <w:rPr>
          <w:rFonts w:ascii="Traditional Arabic" w:hAnsi="Traditional Arabic" w:cs="Traditional Arabic"/>
          <w:b/>
          <w:bCs/>
          <w:sz w:val="32"/>
          <w:szCs w:val="32"/>
          <w:rtl/>
          <w:lang w:val="fr-FR" w:bidi="ar-DZ"/>
        </w:rPr>
        <w:lastRenderedPageBreak/>
        <w:t>1</w:t>
      </w:r>
      <w:r w:rsidRPr="00C81E8F">
        <w:rPr>
          <w:rFonts w:ascii="Traditional Arabic" w:hAnsi="Traditional Arabic" w:cs="Traditional Arabic"/>
          <w:b/>
          <w:bCs/>
          <w:sz w:val="32"/>
          <w:szCs w:val="32"/>
          <w:u w:val="single"/>
          <w:rtl/>
          <w:lang w:val="fr-FR" w:bidi="ar-DZ"/>
        </w:rPr>
        <w:t>/-الخطيئة وبداية التاريخ</w:t>
      </w:r>
      <w:r w:rsidRPr="00C81E8F">
        <w:rPr>
          <w:rFonts w:ascii="Traditional Arabic" w:hAnsi="Traditional Arabic" w:cs="Traditional Arabic"/>
          <w:b/>
          <w:bCs/>
          <w:sz w:val="32"/>
          <w:szCs w:val="32"/>
          <w:rtl/>
          <w:lang w:val="fr-FR" w:bidi="ar-DZ"/>
        </w:rPr>
        <w:t xml:space="preserve">: </w:t>
      </w:r>
    </w:p>
    <w:p w:rsidR="00AE729A" w:rsidRPr="00C81E8F" w:rsidRDefault="00AE729A" w:rsidP="00AE729A">
      <w:pPr>
        <w:rPr>
          <w:rFonts w:ascii="Traditional Arabic" w:hAnsi="Traditional Arabic" w:cs="Traditional Arabic"/>
          <w:sz w:val="32"/>
          <w:szCs w:val="32"/>
          <w:rtl/>
          <w:lang w:bidi="ar-DZ"/>
        </w:rPr>
      </w:pPr>
      <w:r w:rsidRPr="00C81E8F">
        <w:rPr>
          <w:rFonts w:ascii="Traditional Arabic" w:hAnsi="Traditional Arabic" w:cs="Traditional Arabic"/>
          <w:sz w:val="32"/>
          <w:szCs w:val="32"/>
          <w:rtl/>
          <w:lang w:bidi="ar-DZ"/>
        </w:rPr>
        <w:t xml:space="preserve">       لقد حاول رجال الدين المسيحي تقديم صياغة لاهوتية عن طبيعة العلاقة بين الأب والابن وروح القدس ، فأصدروا في مجمع نيقية </w:t>
      </w:r>
      <w:r w:rsidRPr="00C81E8F">
        <w:rPr>
          <w:rStyle w:val="Appelnotedebasdep"/>
          <w:rFonts w:ascii="Traditional Arabic" w:hAnsi="Traditional Arabic" w:cs="Traditional Arabic"/>
          <w:b/>
          <w:bCs/>
          <w:sz w:val="32"/>
          <w:szCs w:val="32"/>
          <w:rtl/>
          <w:lang w:bidi="ar-DZ"/>
        </w:rPr>
        <w:footnoteReference w:id="2"/>
      </w:r>
      <w:r w:rsidRPr="00C81E8F">
        <w:rPr>
          <w:rFonts w:ascii="Traditional Arabic" w:hAnsi="Traditional Arabic" w:cs="Traditional Arabic"/>
          <w:sz w:val="32"/>
          <w:szCs w:val="32"/>
          <w:rtl/>
          <w:lang w:bidi="ar-DZ"/>
        </w:rPr>
        <w:t xml:space="preserve">،الذي انعقد في سنة 320م قانون </w:t>
      </w:r>
      <w:r w:rsidRPr="00C81E8F">
        <w:rPr>
          <w:rFonts w:ascii="Traditional Arabic" w:hAnsi="Traditional Arabic" w:cs="Traditional Arabic"/>
          <w:b/>
          <w:bCs/>
          <w:sz w:val="32"/>
          <w:szCs w:val="32"/>
          <w:rtl/>
          <w:lang w:bidi="ar-DZ"/>
        </w:rPr>
        <w:t>الإيمان العام</w:t>
      </w:r>
      <w:r w:rsidRPr="00C81E8F">
        <w:rPr>
          <w:rFonts w:ascii="Traditional Arabic" w:hAnsi="Traditional Arabic" w:cs="Traditional Arabic"/>
          <w:sz w:val="32"/>
          <w:szCs w:val="32"/>
          <w:rtl/>
          <w:lang w:bidi="ar-DZ"/>
        </w:rPr>
        <w:t xml:space="preserve"> الذي أكد أن الله تعالى واحد من حيث الجوهر أما من حيث الصفات الذاتية الأساسية (الأقانيم )فهو ثلاثة ولكل اقنوم من الاقانيم الثلاثة صفات خاصة يمتاز عن غيره ،فيمتاز الأب في المثلث الإلهي المسيحي بكونه مكون الكائنات والخالق لكل العوالم،ويمتاز الروح الابن بالحلول والتجسد وأنه مخلص العالم من الخطيئة ،ويمتاز الروح القدس بأنه المحيي المعيد وهو الذي يهب الحياة للعالم وهو سر الحياة ، وهو الروح المقدسة المسؤولة عن العالم ،وهو الدليل والمرشد ،إلا أن الأقانيم الثلاثة ليست منفصلة عن بعضها ،وإنما هي ثلاثة أقانيم للإله الواحد ولا يمكن لأحدها أن يكون مستقلا قائما بذاته .    وتقدم المسيحية التاريخ في صورة </w:t>
      </w:r>
      <w:r w:rsidRPr="00C81E8F">
        <w:rPr>
          <w:rFonts w:ascii="Traditional Arabic" w:hAnsi="Traditional Arabic" w:cs="Traditional Arabic"/>
          <w:b/>
          <w:bCs/>
          <w:sz w:val="32"/>
          <w:szCs w:val="32"/>
          <w:rtl/>
          <w:lang w:bidi="ar-DZ"/>
        </w:rPr>
        <w:t>مأساة</w:t>
      </w:r>
      <w:r w:rsidRPr="00C81E8F">
        <w:rPr>
          <w:rFonts w:ascii="Traditional Arabic" w:hAnsi="Traditional Arabic" w:cs="Traditional Arabic"/>
          <w:sz w:val="32"/>
          <w:szCs w:val="32"/>
          <w:rtl/>
          <w:lang w:bidi="ar-DZ"/>
        </w:rPr>
        <w:t xml:space="preserve"> أول فصولها يتألف من سقوط آدم ، ومن استمرار (الخطيئة )في ذريته حتى عيسى ابن مريم عليه السلام الذي يقدمه الله تعالى (فداء) لخطيئة آدم على خشبة الصليب ،حيث أن الله كان قد </w:t>
      </w:r>
      <w:r w:rsidRPr="00C81E8F">
        <w:rPr>
          <w:rFonts w:ascii="Traditional Arabic" w:hAnsi="Traditional Arabic" w:cs="Traditional Arabic"/>
          <w:b/>
          <w:bCs/>
          <w:sz w:val="32"/>
          <w:szCs w:val="32"/>
          <w:rtl/>
          <w:lang w:bidi="ar-DZ"/>
        </w:rPr>
        <w:t>غضب</w:t>
      </w:r>
      <w:r w:rsidRPr="00C81E8F">
        <w:rPr>
          <w:rFonts w:ascii="Traditional Arabic" w:hAnsi="Traditional Arabic" w:cs="Traditional Arabic"/>
          <w:sz w:val="32"/>
          <w:szCs w:val="32"/>
          <w:rtl/>
          <w:lang w:bidi="ar-DZ"/>
        </w:rPr>
        <w:t xml:space="preserve"> على آدم وحواء وحكم على نسلهما بالعذاب الأبدي ، ثم </w:t>
      </w:r>
      <w:r w:rsidRPr="00C81E8F">
        <w:rPr>
          <w:rFonts w:ascii="Traditional Arabic" w:hAnsi="Traditional Arabic" w:cs="Traditional Arabic"/>
          <w:b/>
          <w:bCs/>
          <w:sz w:val="32"/>
          <w:szCs w:val="32"/>
          <w:rtl/>
          <w:lang w:bidi="ar-DZ"/>
        </w:rPr>
        <w:t xml:space="preserve">أحب </w:t>
      </w:r>
      <w:r w:rsidRPr="00C81E8F">
        <w:rPr>
          <w:rFonts w:ascii="Traditional Arabic" w:hAnsi="Traditional Arabic" w:cs="Traditional Arabic"/>
          <w:sz w:val="32"/>
          <w:szCs w:val="32"/>
          <w:rtl/>
          <w:lang w:bidi="ar-DZ"/>
        </w:rPr>
        <w:t>الله العالم</w:t>
      </w:r>
      <w:r w:rsidRPr="00C81E8F">
        <w:rPr>
          <w:rFonts w:ascii="Traditional Arabic" w:hAnsi="Traditional Arabic" w:cs="Traditional Arabic"/>
          <w:b/>
          <w:bCs/>
          <w:sz w:val="32"/>
          <w:szCs w:val="32"/>
          <w:rtl/>
          <w:lang w:bidi="ar-DZ"/>
        </w:rPr>
        <w:t xml:space="preserve"> وندم</w:t>
      </w:r>
      <w:r w:rsidRPr="00C81E8F">
        <w:rPr>
          <w:rFonts w:ascii="Traditional Arabic" w:hAnsi="Traditional Arabic" w:cs="Traditional Arabic"/>
          <w:sz w:val="32"/>
          <w:szCs w:val="32"/>
          <w:rtl/>
          <w:lang w:bidi="ar-DZ"/>
        </w:rPr>
        <w:t xml:space="preserve"> على حكمه </w:t>
      </w:r>
      <w:r w:rsidRPr="00C81E8F">
        <w:rPr>
          <w:rFonts w:ascii="Traditional Arabic" w:hAnsi="Traditional Arabic" w:cs="Traditional Arabic"/>
          <w:b/>
          <w:bCs/>
          <w:sz w:val="32"/>
          <w:szCs w:val="32"/>
          <w:rtl/>
          <w:lang w:bidi="ar-DZ"/>
        </w:rPr>
        <w:t>فضحى</w:t>
      </w:r>
      <w:r w:rsidRPr="00C81E8F">
        <w:rPr>
          <w:rFonts w:ascii="Traditional Arabic" w:hAnsi="Traditional Arabic" w:cs="Traditional Arabic"/>
          <w:sz w:val="32"/>
          <w:szCs w:val="32"/>
          <w:rtl/>
          <w:lang w:bidi="ar-DZ"/>
        </w:rPr>
        <w:t xml:space="preserve"> بابنه الوحيد كفارة عن البشر ، و أن السيد المسيح قد حمل وزر خطيئة العالم في جسده على خشبة الصليب ،وجعل نفسه فدية عن علم و رؤية و اختيار في سبيل خلاص الذين يؤمنون به من الخطيئة، وأن الأب قد بذل ابنه الوحيد لتكون للذي يؤمن به الحياة الأبدية.</w:t>
      </w:r>
    </w:p>
    <w:p w:rsidR="00AE729A" w:rsidRPr="00C81E8F" w:rsidRDefault="00AE729A" w:rsidP="00AE729A">
      <w:pPr>
        <w:rPr>
          <w:rFonts w:ascii="Traditional Arabic" w:hAnsi="Traditional Arabic" w:cs="Traditional Arabic"/>
          <w:sz w:val="32"/>
          <w:szCs w:val="32"/>
          <w:rtl/>
          <w:lang w:bidi="ar-DZ"/>
        </w:rPr>
      </w:pPr>
      <w:r w:rsidRPr="00C81E8F">
        <w:rPr>
          <w:rFonts w:ascii="Traditional Arabic" w:hAnsi="Traditional Arabic" w:cs="Traditional Arabic"/>
          <w:sz w:val="32"/>
          <w:szCs w:val="32"/>
          <w:rtl/>
          <w:lang w:bidi="ar-DZ"/>
        </w:rPr>
        <w:t xml:space="preserve">و يلاحظ أن فكرة الفداء قد منحت المؤمنين بالمسيح على مدى الأجيال أمل الرحمة و الخلاص من ذنوبهم, كما عزز هذا الاعتقاد بأن المسيح سيكون قاضي الدينونة بعد الموت، و كل من يؤمن به يخلص من الخطيئة و من العذاب الأبدي ،بل أن حق مغفرة الذنوب توسع في المسيحية ليشمل تلاميذه و خلفاءهم من رجال الدين استنادا إلى ما أوردته الأناجيل،كما يلاحظ أن توسع رجال الدين في استخدام هذا الحق و إساءة استخدامه في بعض العصور من خلال حق الاعتراف و إصدار </w:t>
      </w:r>
      <w:r w:rsidRPr="00C81E8F">
        <w:rPr>
          <w:rFonts w:ascii="Traditional Arabic" w:hAnsi="Traditional Arabic" w:cs="Traditional Arabic"/>
          <w:b/>
          <w:bCs/>
          <w:sz w:val="32"/>
          <w:szCs w:val="32"/>
          <w:rtl/>
          <w:lang w:bidi="ar-DZ"/>
        </w:rPr>
        <w:t>صكوك الغفران</w:t>
      </w:r>
      <w:r w:rsidRPr="00C81E8F">
        <w:rPr>
          <w:rFonts w:ascii="Traditional Arabic" w:hAnsi="Traditional Arabic" w:cs="Traditional Arabic"/>
          <w:sz w:val="32"/>
          <w:szCs w:val="32"/>
          <w:rtl/>
          <w:lang w:bidi="ar-DZ"/>
        </w:rPr>
        <w:t xml:space="preserve"> قد أدى إلى ضعف المسؤولية الأخلاقية لدى </w:t>
      </w:r>
      <w:r w:rsidRPr="00C81E8F">
        <w:rPr>
          <w:rFonts w:ascii="Traditional Arabic" w:hAnsi="Traditional Arabic" w:cs="Traditional Arabic"/>
          <w:sz w:val="32"/>
          <w:szCs w:val="32"/>
          <w:rtl/>
          <w:lang w:bidi="ar-DZ"/>
        </w:rPr>
        <w:lastRenderedPageBreak/>
        <w:t xml:space="preserve">الناس, و سعي الأغنياء و ذوي السلطان إلى شراء المغفرة و دخول الجنة بأبخس الأثمان مما قاد إلى ردة فعل و دعوات قوية للإصلاح الديني،و العلاقة بين الزمني (التاريخي) و المطلق (الإلهي) تتضح معنى شرح عنى مصطلح (ملكوت) الذي دعا المسيح إلى تحقيقه.                                                                            إن (ملكوت ) مصطلح آرامي يعني الملك أو المملكة, فملكوت الله هو أولا ملكه وحكمه,و ملكوت الله بحسب بعض النصوص الإنجيلية هو مملكة يحكم الله فيها بواسطة </w:t>
      </w:r>
      <w:r w:rsidRPr="00C81E8F">
        <w:rPr>
          <w:rFonts w:ascii="Traditional Arabic" w:hAnsi="Traditional Arabic" w:cs="Traditional Arabic"/>
          <w:b/>
          <w:bCs/>
          <w:sz w:val="32"/>
          <w:szCs w:val="32"/>
          <w:rtl/>
          <w:lang w:bidi="ar-DZ"/>
        </w:rPr>
        <w:t>مسيحه</w:t>
      </w:r>
      <w:r w:rsidRPr="00C81E8F">
        <w:rPr>
          <w:rFonts w:ascii="Traditional Arabic" w:hAnsi="Traditional Arabic" w:cs="Traditional Arabic"/>
          <w:sz w:val="32"/>
          <w:szCs w:val="32"/>
          <w:rtl/>
          <w:lang w:bidi="ar-DZ"/>
        </w:rPr>
        <w:t xml:space="preserve">، ويرتبط ظهور ملكوت الله عند المسيحيين </w:t>
      </w:r>
      <w:r w:rsidRPr="00C81E8F">
        <w:rPr>
          <w:rFonts w:ascii="Traditional Arabic" w:hAnsi="Traditional Arabic" w:cs="Traditional Arabic"/>
          <w:b/>
          <w:bCs/>
          <w:sz w:val="32"/>
          <w:szCs w:val="32"/>
          <w:rtl/>
          <w:lang w:bidi="ar-DZ"/>
        </w:rPr>
        <w:t>بظهور المسيح على الأرض</w:t>
      </w:r>
      <w:r w:rsidRPr="00C81E8F">
        <w:rPr>
          <w:rFonts w:ascii="Traditional Arabic" w:hAnsi="Traditional Arabic" w:cs="Traditional Arabic"/>
          <w:sz w:val="32"/>
          <w:szCs w:val="32"/>
          <w:rtl/>
          <w:lang w:bidi="ar-DZ"/>
        </w:rPr>
        <w:t xml:space="preserve"> و انطلاقه للتبشير بدعوته بين الناس و العمل على تأسيس نواة الجماعة المسيحية التي أخذت شكلها التنظيمي في صورة </w:t>
      </w:r>
      <w:r w:rsidRPr="00C81E8F">
        <w:rPr>
          <w:rFonts w:ascii="Traditional Arabic" w:hAnsi="Traditional Arabic" w:cs="Traditional Arabic"/>
          <w:b/>
          <w:bCs/>
          <w:sz w:val="32"/>
          <w:szCs w:val="32"/>
          <w:rtl/>
          <w:lang w:bidi="ar-DZ"/>
        </w:rPr>
        <w:t>(الكنيسة)،</w:t>
      </w:r>
      <w:r w:rsidRPr="00C81E8F">
        <w:rPr>
          <w:rFonts w:ascii="Traditional Arabic" w:hAnsi="Traditional Arabic" w:cs="Traditional Arabic"/>
          <w:sz w:val="32"/>
          <w:szCs w:val="32"/>
          <w:rtl/>
          <w:lang w:bidi="ar-DZ"/>
        </w:rPr>
        <w:t>وقد أشار المسيح إلى ذلك بصراحة حين خاطب بطرس بقوله:"و أنا أقول لك أيضا أنت بطرس,على هذه الصخرة ابني كنيستي, و أبواب الجحيم لن تقوى عليها وأعطيك مفاتيح ملكوت السماوات ، فكل ما تربطه على الأرض يكون مربوطا في السماوات ".</w:t>
      </w:r>
    </w:p>
    <w:p w:rsidR="00AE729A" w:rsidRPr="00C81E8F" w:rsidRDefault="00AE729A" w:rsidP="00AE729A">
      <w:pPr>
        <w:rPr>
          <w:rFonts w:ascii="Traditional Arabic" w:hAnsi="Traditional Arabic" w:cs="Traditional Arabic"/>
          <w:sz w:val="32"/>
          <w:szCs w:val="32"/>
          <w:lang w:val="fr-FR" w:bidi="ar-DZ"/>
        </w:rPr>
      </w:pPr>
      <w:r w:rsidRPr="00C81E8F">
        <w:rPr>
          <w:rFonts w:ascii="Traditional Arabic" w:hAnsi="Traditional Arabic" w:cs="Traditional Arabic"/>
          <w:sz w:val="32"/>
          <w:szCs w:val="32"/>
          <w:rtl/>
          <w:lang w:bidi="ar-DZ"/>
        </w:rPr>
        <w:t xml:space="preserve">إن المسيحية ترى أن </w:t>
      </w:r>
      <w:r w:rsidRPr="00C81E8F">
        <w:rPr>
          <w:rFonts w:ascii="Traditional Arabic" w:hAnsi="Traditional Arabic" w:cs="Traditional Arabic"/>
          <w:b/>
          <w:bCs/>
          <w:sz w:val="32"/>
          <w:szCs w:val="32"/>
          <w:rtl/>
          <w:lang w:bidi="ar-DZ"/>
        </w:rPr>
        <w:t>الله قد دخل في التاريخ</w:t>
      </w:r>
      <w:r w:rsidRPr="00C81E8F">
        <w:rPr>
          <w:rFonts w:ascii="Traditional Arabic" w:hAnsi="Traditional Arabic" w:cs="Traditional Arabic"/>
          <w:sz w:val="32"/>
          <w:szCs w:val="32"/>
          <w:rtl/>
          <w:lang w:bidi="ar-DZ"/>
        </w:rPr>
        <w:t xml:space="preserve"> متجسدا في صورة المسيح عيسى ابن مريم عليه السلام ليقيم ملكوت الله في الأرض ، ثم ليقدم نفسه </w:t>
      </w:r>
      <w:r w:rsidRPr="00C81E8F">
        <w:rPr>
          <w:rFonts w:ascii="Traditional Arabic" w:hAnsi="Traditional Arabic" w:cs="Traditional Arabic"/>
          <w:b/>
          <w:bCs/>
          <w:sz w:val="32"/>
          <w:szCs w:val="32"/>
          <w:rtl/>
          <w:lang w:bidi="ar-DZ"/>
        </w:rPr>
        <w:t>فداء</w:t>
      </w:r>
      <w:r w:rsidRPr="00C81E8F">
        <w:rPr>
          <w:rFonts w:ascii="Traditional Arabic" w:hAnsi="Traditional Arabic" w:cs="Traditional Arabic"/>
          <w:sz w:val="32"/>
          <w:szCs w:val="32"/>
          <w:rtl/>
          <w:lang w:bidi="ar-DZ"/>
        </w:rPr>
        <w:t xml:space="preserve"> لخطيئة آدم عليه السلام ، ثم </w:t>
      </w:r>
      <w:r w:rsidRPr="00C81E8F">
        <w:rPr>
          <w:rFonts w:ascii="Traditional Arabic" w:hAnsi="Traditional Arabic" w:cs="Traditional Arabic"/>
          <w:b/>
          <w:bCs/>
          <w:sz w:val="32"/>
          <w:szCs w:val="32"/>
          <w:rtl/>
          <w:lang w:bidi="ar-DZ"/>
        </w:rPr>
        <w:t xml:space="preserve">يعود </w:t>
      </w:r>
      <w:r w:rsidRPr="00C81E8F">
        <w:rPr>
          <w:rFonts w:ascii="Traditional Arabic" w:hAnsi="Traditional Arabic" w:cs="Traditional Arabic"/>
          <w:sz w:val="32"/>
          <w:szCs w:val="32"/>
          <w:rtl/>
          <w:lang w:bidi="ar-DZ"/>
        </w:rPr>
        <w:t xml:space="preserve">مرة ثانية إلى السماء من خلال البعث والصعود وبذلك يمنح البشر </w:t>
      </w:r>
      <w:r w:rsidRPr="00C81E8F">
        <w:rPr>
          <w:rFonts w:ascii="Traditional Arabic" w:hAnsi="Traditional Arabic" w:cs="Traditional Arabic"/>
          <w:b/>
          <w:bCs/>
          <w:sz w:val="32"/>
          <w:szCs w:val="32"/>
          <w:rtl/>
          <w:lang w:bidi="ar-DZ"/>
        </w:rPr>
        <w:t>الأمل</w:t>
      </w:r>
      <w:r w:rsidRPr="00C81E8F">
        <w:rPr>
          <w:rFonts w:ascii="Traditional Arabic" w:hAnsi="Traditional Arabic" w:cs="Traditional Arabic"/>
          <w:sz w:val="32"/>
          <w:szCs w:val="32"/>
          <w:rtl/>
          <w:lang w:bidi="ar-DZ"/>
        </w:rPr>
        <w:t xml:space="preserve"> في الخلود ،ويرى المسيحيون أن الكنيسة قد أخذت على عاتقها مسؤولية التبشير بتعاليم المسيح وإقامة ملكوت الله في الأرض طوال مدة </w:t>
      </w:r>
      <w:r w:rsidRPr="00C81E8F">
        <w:rPr>
          <w:rFonts w:ascii="Traditional Arabic" w:hAnsi="Traditional Arabic" w:cs="Traditional Arabic"/>
          <w:b/>
          <w:bCs/>
          <w:sz w:val="32"/>
          <w:szCs w:val="32"/>
          <w:rtl/>
          <w:lang w:bidi="ar-DZ"/>
        </w:rPr>
        <w:t>(غيبة)</w:t>
      </w:r>
      <w:r w:rsidRPr="00C81E8F">
        <w:rPr>
          <w:rFonts w:ascii="Traditional Arabic" w:hAnsi="Traditional Arabic" w:cs="Traditional Arabic"/>
          <w:sz w:val="32"/>
          <w:szCs w:val="32"/>
          <w:rtl/>
          <w:lang w:bidi="ar-DZ"/>
        </w:rPr>
        <w:t xml:space="preserve"> المسيح عن الأرض في السماء ، وتتمتع الكنيسة بكامل </w:t>
      </w:r>
      <w:r w:rsidRPr="00C81E8F">
        <w:rPr>
          <w:rFonts w:ascii="Traditional Arabic" w:hAnsi="Traditional Arabic" w:cs="Traditional Arabic"/>
          <w:b/>
          <w:bCs/>
          <w:sz w:val="32"/>
          <w:szCs w:val="32"/>
          <w:rtl/>
          <w:lang w:bidi="ar-DZ"/>
        </w:rPr>
        <w:t>سلطات</w:t>
      </w:r>
      <w:r w:rsidRPr="00C81E8F">
        <w:rPr>
          <w:rFonts w:ascii="Traditional Arabic" w:hAnsi="Traditional Arabic" w:cs="Traditional Arabic"/>
          <w:sz w:val="32"/>
          <w:szCs w:val="32"/>
          <w:rtl/>
          <w:lang w:bidi="ar-DZ"/>
        </w:rPr>
        <w:t xml:space="preserve"> المسيح عليه السلام التشريعية بناء على التخويل الذي منحه لحوارييه في الحل والربط ، كما تتمتع بالعصمة من الخطأ وذلك لأن سلطاتها مستمدة من المسيح عليه السلام مباشرة .                                                ويعتقد المسيحيون أن الروح (الروح القدس ) بصفته الأقنوم الإلهي الثالث يؤدي دورا عظيما في حياة البشر والكنيسة ، فهو الذي يعين الأشخاص الذين يقودون الكنيسة ، ويعين لهم مكان العمل ، ونوعه ومجاله وزمنه وأسلوبه ، ولا يترك شيئا مهما صغر أو كبر دون إعداد وترتيب وتنسيق وتنظيم وهو سيضمن للكنيسة سيرها في كل العصور حتى تبلغ مجدها الأبدي العظيم .                                                                                   </w:t>
      </w:r>
      <w:r w:rsidRPr="00C81E8F">
        <w:rPr>
          <w:rFonts w:ascii="Traditional Arabic" w:hAnsi="Traditional Arabic" w:cs="Traditional Arabic"/>
          <w:sz w:val="32"/>
          <w:szCs w:val="32"/>
          <w:rtl/>
          <w:lang w:val="fr-FR" w:bidi="ar-DZ"/>
        </w:rPr>
        <w:t xml:space="preserve">ويعتقد المسيحيون أنه إذا حان موعد ذلك اليوم ، فإن المسيح عليه السلام </w:t>
      </w:r>
      <w:r w:rsidRPr="00C81E8F">
        <w:rPr>
          <w:rFonts w:ascii="Traditional Arabic" w:hAnsi="Traditional Arabic" w:cs="Traditional Arabic"/>
          <w:b/>
          <w:bCs/>
          <w:sz w:val="32"/>
          <w:szCs w:val="32"/>
          <w:rtl/>
          <w:lang w:val="fr-FR" w:bidi="ar-DZ"/>
        </w:rPr>
        <w:t>سيعود</w:t>
      </w:r>
      <w:r w:rsidRPr="00C81E8F">
        <w:rPr>
          <w:rFonts w:ascii="Traditional Arabic" w:hAnsi="Traditional Arabic" w:cs="Traditional Arabic"/>
          <w:sz w:val="32"/>
          <w:szCs w:val="32"/>
          <w:rtl/>
          <w:lang w:val="fr-FR" w:bidi="ar-DZ"/>
        </w:rPr>
        <w:t xml:space="preserve"> إلى الأرض ، ويقيم مملكة على الأرض ، عند ذلك سيبعث الأموات من قبورهم ويتولى المسيح عليه السلام بمعاونة الملائكة محاسبتهم على أعمالهم السابقة فيجازي  الأبرار بدخول الجنة ويعاقب الأشرار بدخول النار.</w:t>
      </w:r>
    </w:p>
    <w:p w:rsidR="00AE729A" w:rsidRPr="00C81E8F" w:rsidRDefault="00AE729A" w:rsidP="00AE729A">
      <w:pPr>
        <w:rPr>
          <w:rFonts w:ascii="Traditional Arabic" w:hAnsi="Traditional Arabic" w:cs="Traditional Arabic"/>
          <w:sz w:val="32"/>
          <w:szCs w:val="32"/>
          <w:lang w:val="fr-FR" w:bidi="ar-DZ"/>
        </w:rPr>
      </w:pPr>
    </w:p>
    <w:p w:rsidR="00AE729A" w:rsidRPr="00AE729A" w:rsidRDefault="00AE729A" w:rsidP="00AE729A">
      <w:pPr>
        <w:rPr>
          <w:lang w:val="fr-FR"/>
        </w:rPr>
      </w:pPr>
    </w:p>
    <w:sectPr w:rsidR="00AE729A" w:rsidRPr="00AE729A"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F4D" w:rsidRDefault="00101F4D" w:rsidP="00AE729A">
      <w:pPr>
        <w:spacing w:after="0" w:line="240" w:lineRule="auto"/>
      </w:pPr>
      <w:r>
        <w:separator/>
      </w:r>
    </w:p>
  </w:endnote>
  <w:endnote w:type="continuationSeparator" w:id="1">
    <w:p w:rsidR="00101F4D" w:rsidRDefault="00101F4D" w:rsidP="00AE72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F4D" w:rsidRDefault="00101F4D" w:rsidP="00AE729A">
      <w:pPr>
        <w:spacing w:after="0" w:line="240" w:lineRule="auto"/>
      </w:pPr>
      <w:r>
        <w:separator/>
      </w:r>
    </w:p>
  </w:footnote>
  <w:footnote w:type="continuationSeparator" w:id="1">
    <w:p w:rsidR="00101F4D" w:rsidRDefault="00101F4D" w:rsidP="00AE729A">
      <w:pPr>
        <w:spacing w:after="0" w:line="240" w:lineRule="auto"/>
      </w:pPr>
      <w:r>
        <w:continuationSeparator/>
      </w:r>
    </w:p>
  </w:footnote>
  <w:footnote w:id="2">
    <w:p w:rsidR="00AE729A" w:rsidRPr="002C67F2" w:rsidRDefault="00AE729A" w:rsidP="00AE729A">
      <w:pPr>
        <w:pStyle w:val="NormalWeb"/>
        <w:bidi/>
        <w:rPr>
          <w:rFonts w:ascii="Traditional Arabic" w:hAnsi="Traditional Arabic" w:cs="Traditional Arabic"/>
          <w:sz w:val="28"/>
          <w:szCs w:val="28"/>
          <w:rtl/>
        </w:rPr>
      </w:pPr>
      <w:r w:rsidRPr="002C67F2">
        <w:rPr>
          <w:rStyle w:val="Appelnotedebasdep"/>
          <w:rFonts w:ascii="Traditional Arabic" w:hAnsi="Traditional Arabic" w:cs="Traditional Arabic"/>
          <w:b/>
          <w:bCs/>
          <w:sz w:val="28"/>
          <w:szCs w:val="28"/>
        </w:rPr>
        <w:footnoteRef/>
      </w:r>
      <w:r w:rsidRPr="002C67F2">
        <w:rPr>
          <w:rFonts w:ascii="Traditional Arabic" w:hAnsi="Traditional Arabic" w:cs="Traditional Arabic"/>
          <w:b/>
          <w:bCs/>
          <w:sz w:val="28"/>
          <w:szCs w:val="28"/>
          <w:rtl/>
        </w:rPr>
        <w:t xml:space="preserve"> </w:t>
      </w:r>
      <w:r w:rsidRPr="002C67F2">
        <w:rPr>
          <w:rFonts w:ascii="Traditional Arabic" w:hAnsi="Traditional Arabic" w:cs="Traditional Arabic"/>
          <w:sz w:val="28"/>
          <w:szCs w:val="28"/>
          <w:rtl/>
        </w:rPr>
        <w:t xml:space="preserve">سمي مجمع نيقية بهذا الاسم نسبة الي مدينة </w:t>
      </w:r>
      <w:hyperlink r:id="rId1" w:tooltip="نيقية" w:history="1">
        <w:r w:rsidRPr="002C67F2">
          <w:rPr>
            <w:rStyle w:val="Lienhypertexte"/>
            <w:rFonts w:ascii="Traditional Arabic" w:hAnsi="Traditional Arabic" w:cs="Traditional Arabic"/>
            <w:color w:val="auto"/>
            <w:sz w:val="28"/>
            <w:szCs w:val="28"/>
            <w:rtl/>
          </w:rPr>
          <w:t>نيقية</w:t>
        </w:r>
      </w:hyperlink>
      <w:r w:rsidRPr="002C67F2">
        <w:rPr>
          <w:rFonts w:ascii="Traditional Arabic" w:hAnsi="Traditional Arabic" w:cs="Traditional Arabic"/>
          <w:sz w:val="28"/>
          <w:szCs w:val="28"/>
          <w:rtl/>
        </w:rPr>
        <w:t xml:space="preserve"> التي عُقد فيها وهي العاصمة الثانية لولاية بيثينية وتق</w:t>
      </w:r>
      <w:r>
        <w:rPr>
          <w:rFonts w:ascii="Traditional Arabic" w:hAnsi="Traditional Arabic" w:cs="Traditional Arabic"/>
          <w:sz w:val="28"/>
          <w:szCs w:val="28"/>
          <w:rtl/>
        </w:rPr>
        <w:t>ع في الشمال الغربي لآسيا الصغرى</w:t>
      </w:r>
      <w:r>
        <w:rPr>
          <w:rFonts w:ascii="Traditional Arabic" w:hAnsi="Traditional Arabic" w:cs="Traditional Arabic" w:hint="cs"/>
          <w:sz w:val="28"/>
          <w:szCs w:val="28"/>
          <w:rtl/>
        </w:rPr>
        <w:t>،و</w:t>
      </w:r>
      <w:r w:rsidRPr="002C67F2">
        <w:rPr>
          <w:rFonts w:ascii="Traditional Arabic" w:hAnsi="Traditional Arabic" w:cs="Traditional Arabic"/>
          <w:sz w:val="28"/>
          <w:szCs w:val="28"/>
          <w:rtl/>
        </w:rPr>
        <w:t xml:space="preserve">حضر افتتاح المجمع الامبراطور </w:t>
      </w:r>
      <w:hyperlink r:id="rId2" w:tooltip="قسطنطين الأول" w:history="1">
        <w:r w:rsidRPr="002C67F2">
          <w:rPr>
            <w:rStyle w:val="Lienhypertexte"/>
            <w:rFonts w:ascii="Traditional Arabic" w:hAnsi="Traditional Arabic" w:cs="Traditional Arabic"/>
            <w:color w:val="auto"/>
            <w:sz w:val="28"/>
            <w:szCs w:val="28"/>
            <w:rtl/>
          </w:rPr>
          <w:t>قسطنطين الأول</w:t>
        </w:r>
      </w:hyperlink>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،وتراوح عدد الاساقفة</w:t>
      </w:r>
      <w:r>
        <w:rPr>
          <w:rFonts w:ascii="Traditional Arabic" w:hAnsi="Traditional Arabic" w:cs="Traditional Arabic"/>
          <w:sz w:val="28"/>
          <w:szCs w:val="28"/>
          <w:rtl/>
        </w:rPr>
        <w:t xml:space="preserve"> بين 250 ال</w:t>
      </w:r>
      <w:r>
        <w:rPr>
          <w:rFonts w:ascii="Traditional Arabic" w:hAnsi="Traditional Arabic" w:cs="Traditional Arabic" w:hint="cs"/>
          <w:sz w:val="28"/>
          <w:szCs w:val="28"/>
          <w:rtl/>
        </w:rPr>
        <w:t>ى</w:t>
      </w:r>
      <w:r w:rsidRPr="002C67F2">
        <w:rPr>
          <w:rFonts w:ascii="Traditional Arabic" w:hAnsi="Traditional Arabic" w:cs="Traditional Arabic"/>
          <w:sz w:val="28"/>
          <w:szCs w:val="28"/>
          <w:rtl/>
        </w:rPr>
        <w:t xml:space="preserve"> 318 </w:t>
      </w:r>
      <w:hyperlink r:id="rId3" w:tooltip="اسقف" w:history="1">
        <w:r w:rsidRPr="002C67F2">
          <w:rPr>
            <w:rStyle w:val="Lienhypertexte"/>
            <w:rFonts w:ascii="Traditional Arabic" w:hAnsi="Traditional Arabic" w:cs="Traditional Arabic"/>
            <w:color w:val="auto"/>
            <w:sz w:val="28"/>
            <w:szCs w:val="28"/>
            <w:rtl/>
          </w:rPr>
          <w:t>اسقف</w:t>
        </w:r>
      </w:hyperlink>
      <w:r w:rsidRPr="002C67F2">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2C67F2">
        <w:rPr>
          <w:rFonts w:ascii="Traditional Arabic" w:hAnsi="Traditional Arabic" w:cs="Traditional Arabic"/>
          <w:sz w:val="28"/>
          <w:szCs w:val="28"/>
          <w:rtl/>
        </w:rPr>
        <w:t xml:space="preserve">عقد المجمع بناء على تعليمات من الامبراطور </w:t>
      </w:r>
      <w:hyperlink r:id="rId4" w:tooltip="قسطنطين الأول" w:history="1">
        <w:r w:rsidRPr="002C67F2">
          <w:rPr>
            <w:rStyle w:val="Lienhypertexte"/>
            <w:rFonts w:ascii="Traditional Arabic" w:hAnsi="Traditional Arabic" w:cs="Traditional Arabic"/>
            <w:color w:val="auto"/>
            <w:sz w:val="28"/>
            <w:szCs w:val="28"/>
            <w:rtl/>
          </w:rPr>
          <w:t>قسطنطين الأول</w:t>
        </w:r>
      </w:hyperlink>
      <w:r w:rsidRPr="002C67F2">
        <w:rPr>
          <w:rFonts w:ascii="Traditional Arabic" w:hAnsi="Traditional Arabic" w:cs="Traditional Arabic"/>
          <w:sz w:val="28"/>
          <w:szCs w:val="28"/>
          <w:rtl/>
        </w:rPr>
        <w:t xml:space="preserve"> لدراسة الخلافات في </w:t>
      </w:r>
      <w:hyperlink r:id="rId5" w:tooltip="كنيسة الإسكندرية" w:history="1">
        <w:r w:rsidRPr="002C67F2">
          <w:rPr>
            <w:rStyle w:val="Lienhypertexte"/>
            <w:rFonts w:ascii="Traditional Arabic" w:hAnsi="Traditional Arabic" w:cs="Traditional Arabic"/>
            <w:color w:val="auto"/>
            <w:sz w:val="28"/>
            <w:szCs w:val="28"/>
            <w:rtl/>
          </w:rPr>
          <w:t>كنيسة الإسكندرية</w:t>
        </w:r>
      </w:hyperlink>
      <w:r w:rsidRPr="002C67F2">
        <w:rPr>
          <w:rFonts w:ascii="Traditional Arabic" w:hAnsi="Traditional Arabic" w:cs="Traditional Arabic"/>
          <w:sz w:val="28"/>
          <w:szCs w:val="28"/>
          <w:rtl/>
        </w:rPr>
        <w:t xml:space="preserve"> بين </w:t>
      </w:r>
      <w:hyperlink r:id="rId6" w:tooltip="آريوس" w:history="1">
        <w:r w:rsidRPr="002C67F2">
          <w:rPr>
            <w:rStyle w:val="Lienhypertexte"/>
            <w:rFonts w:ascii="Traditional Arabic" w:hAnsi="Traditional Arabic" w:cs="Traditional Arabic"/>
            <w:color w:val="auto"/>
            <w:sz w:val="28"/>
            <w:szCs w:val="28"/>
            <w:rtl/>
          </w:rPr>
          <w:t>آريوس</w:t>
        </w:r>
      </w:hyperlink>
      <w:r w:rsidRPr="002C67F2">
        <w:rPr>
          <w:rFonts w:ascii="Traditional Arabic" w:hAnsi="Traditional Arabic" w:cs="Traditional Arabic"/>
          <w:sz w:val="28"/>
          <w:szCs w:val="28"/>
          <w:rtl/>
        </w:rPr>
        <w:t xml:space="preserve"> واتباعه من جهه وبين </w:t>
      </w:r>
      <w:hyperlink r:id="rId7" w:tooltip="الكسندروس الأول (بابا الإسكندرية)" w:history="1">
        <w:r w:rsidRPr="002C67F2">
          <w:rPr>
            <w:rStyle w:val="Lienhypertexte"/>
            <w:rFonts w:ascii="Traditional Arabic" w:hAnsi="Traditional Arabic" w:cs="Traditional Arabic"/>
            <w:color w:val="auto"/>
            <w:sz w:val="28"/>
            <w:szCs w:val="28"/>
            <w:rtl/>
          </w:rPr>
          <w:t>الكسندروس الأول (بابا الإسكندرية)</w:t>
        </w:r>
      </w:hyperlink>
      <w:r w:rsidRPr="002C67F2">
        <w:rPr>
          <w:rFonts w:ascii="Traditional Arabic" w:hAnsi="Traditional Arabic" w:cs="Traditional Arabic"/>
          <w:sz w:val="28"/>
          <w:szCs w:val="28"/>
          <w:rtl/>
        </w:rPr>
        <w:t xml:space="preserve"> واتباعه من جهة أخرى حول طبيعة يسوع هل هي نفس طبيعة الرب ام طبيعة البشر.</w:t>
      </w:r>
      <w:r>
        <w:rPr>
          <w:rFonts w:ascii="Traditional Arabic" w:hAnsi="Traditional Arabic" w:cs="Traditional Arabic" w:hint="cs"/>
          <w:sz w:val="28"/>
          <w:szCs w:val="28"/>
          <w:rtl/>
        </w:rPr>
        <w:t xml:space="preserve">    </w:t>
      </w:r>
    </w:p>
    <w:p w:rsidR="00AE729A" w:rsidRPr="002C67F2" w:rsidRDefault="00AE729A" w:rsidP="00AE729A">
      <w:pPr>
        <w:pStyle w:val="Notedebasdepage"/>
        <w:rPr>
          <w:rFonts w:ascii="Traditional Arabic" w:hAnsi="Traditional Arabic" w:cs="Traditional Arabic"/>
          <w:b/>
          <w:bCs/>
          <w:sz w:val="28"/>
          <w:szCs w:val="2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AE729A"/>
    <w:rsid w:val="00101F4D"/>
    <w:rsid w:val="001736D1"/>
    <w:rsid w:val="001814DA"/>
    <w:rsid w:val="001B0579"/>
    <w:rsid w:val="00257092"/>
    <w:rsid w:val="008E2381"/>
    <w:rsid w:val="009A5AB0"/>
    <w:rsid w:val="00AE729A"/>
    <w:rsid w:val="00AF1856"/>
    <w:rsid w:val="00C17093"/>
    <w:rsid w:val="00CE14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29A"/>
    <w:pPr>
      <w:bidi/>
    </w:pPr>
    <w:rPr>
      <w:lang w:val="en-US"/>
    </w:rPr>
  </w:style>
  <w:style w:type="paragraph" w:styleId="Titre2">
    <w:name w:val="heading 2"/>
    <w:basedOn w:val="Normal"/>
    <w:next w:val="Normal"/>
    <w:link w:val="Titre2Car"/>
    <w:uiPriority w:val="9"/>
    <w:unhideWhenUsed/>
    <w:qFormat/>
    <w:rsid w:val="00257092"/>
    <w:pPr>
      <w:keepNext/>
      <w:keepLines/>
      <w:bidi w:val="0"/>
      <w:spacing w:before="200" w:after="0"/>
      <w:outlineLvl w:val="1"/>
    </w:pPr>
    <w:rPr>
      <w:rFonts w:asciiTheme="majorHAnsi" w:eastAsiaTheme="majorEastAsia" w:hAnsiTheme="majorHAnsi" w:cstheme="majorBidi"/>
      <w:b/>
      <w:bCs/>
      <w:color w:val="4F81BD" w:themeColor="accent1"/>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AE729A"/>
    <w:rPr>
      <w:color w:val="0000FF" w:themeColor="hyperlink"/>
      <w:u w:val="single"/>
    </w:rPr>
  </w:style>
  <w:style w:type="paragraph" w:styleId="Notedebasdepage">
    <w:name w:val="footnote text"/>
    <w:basedOn w:val="Normal"/>
    <w:link w:val="NotedebasdepageCar"/>
    <w:semiHidden/>
    <w:unhideWhenUsed/>
    <w:rsid w:val="00AE729A"/>
    <w:pPr>
      <w:spacing w:after="0" w:line="240" w:lineRule="auto"/>
    </w:pPr>
    <w:rPr>
      <w:sz w:val="20"/>
      <w:szCs w:val="20"/>
    </w:rPr>
  </w:style>
  <w:style w:type="character" w:customStyle="1" w:styleId="NotedebasdepageCar">
    <w:name w:val="Note de bas de page Car"/>
    <w:basedOn w:val="Policepardfaut"/>
    <w:link w:val="Notedebasdepage"/>
    <w:semiHidden/>
    <w:rsid w:val="00AE729A"/>
    <w:rPr>
      <w:sz w:val="20"/>
      <w:szCs w:val="20"/>
      <w:lang w:val="en-US"/>
    </w:rPr>
  </w:style>
  <w:style w:type="character" w:styleId="Appelnotedebasdep">
    <w:name w:val="footnote reference"/>
    <w:basedOn w:val="Policepardfaut"/>
    <w:semiHidden/>
    <w:unhideWhenUsed/>
    <w:rsid w:val="00AE729A"/>
    <w:rPr>
      <w:vertAlign w:val="superscript"/>
    </w:rPr>
  </w:style>
  <w:style w:type="paragraph" w:styleId="NormalWeb">
    <w:name w:val="Normal (Web)"/>
    <w:basedOn w:val="Normal"/>
    <w:uiPriority w:val="99"/>
    <w:unhideWhenUsed/>
    <w:rsid w:val="00AE729A"/>
    <w:pPr>
      <w:bidi w:val="0"/>
      <w:spacing w:before="100" w:beforeAutospacing="1" w:after="100" w:afterAutospacing="1" w:line="384" w:lineRule="atLeast"/>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r.wikipedia.org/wiki/%D8%A7%D8%B3%D9%82%D9%81" TargetMode="External"/><Relationship Id="rId7" Type="http://schemas.openxmlformats.org/officeDocument/2006/relationships/hyperlink" Target="https://ar.wikipedia.org/wiki/%D8%A7%D9%84%D9%83%D8%B3%D9%86%D8%AF%D8%B1%D9%88%D8%B3_%D8%A7%D9%84%D8%A3%D9%88%D9%84_(%D8%A8%D8%A7%D8%A8%D8%A7_%D8%A7%D9%84%D8%A5%D8%B3%D9%83%D9%86%D8%AF%D8%B1%D9%8A%D8%A9)" TargetMode="External"/><Relationship Id="rId2" Type="http://schemas.openxmlformats.org/officeDocument/2006/relationships/hyperlink" Target="https://ar.wikipedia.org/wiki/%D9%82%D8%B3%D8%B7%D9%86%D8%B7%D9%8A%D9%86_%D8%A7%D9%84%D8%A3%D9%88%D9%84" TargetMode="External"/><Relationship Id="rId1" Type="http://schemas.openxmlformats.org/officeDocument/2006/relationships/hyperlink" Target="https://ar.wikipedia.org/wiki/%D9%86%D9%8A%D9%82%D9%8A%D8%A9" TargetMode="External"/><Relationship Id="rId6" Type="http://schemas.openxmlformats.org/officeDocument/2006/relationships/hyperlink" Target="https://ar.wikipedia.org/wiki/%D8%A2%D8%B1%D9%8A%D9%88%D8%B3" TargetMode="External"/><Relationship Id="rId5" Type="http://schemas.openxmlformats.org/officeDocument/2006/relationships/hyperlink" Target="https://ar.wikipedia.org/wiki/%D9%83%D9%86%D9%8A%D8%B3%D8%A9_%D8%A7%D9%84%D8%A5%D8%B3%D9%83%D9%86%D8%AF%D8%B1%D9%8A%D8%A9" TargetMode="External"/><Relationship Id="rId4" Type="http://schemas.openxmlformats.org/officeDocument/2006/relationships/hyperlink" Target="https://ar.wikipedia.org/wiki/%D9%82%D8%B3%D8%B7%D9%86%D8%B7%D9%8A%D9%86_%D8%A7%D9%84%D8%A3%D9%88%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4808</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2025-02-09T09:57:00Z</dcterms:created>
  <dcterms:modified xsi:type="dcterms:W3CDTF">2026-02-28T19:26:00Z</dcterms:modified>
</cp:coreProperties>
</file>