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6FE3" w14:textId="09ED2943" w:rsidR="00664530" w:rsidRDefault="00664530" w:rsidP="00664530">
      <w:pPr>
        <w:pStyle w:val="ListParagraph"/>
        <w:tabs>
          <w:tab w:val="right" w:pos="849"/>
          <w:tab w:val="right" w:pos="1132"/>
        </w:tabs>
        <w:bidi/>
        <w:spacing w:after="120"/>
        <w:ind w:left="0"/>
        <w:jc w:val="center"/>
        <w:rPr>
          <w:rFonts w:ascii="Simplified Arabic" w:hAnsi="Simplified Arabic" w:cs="Simplified Arabic"/>
          <w:b/>
          <w:bCs/>
          <w:sz w:val="28"/>
          <w:szCs w:val="32"/>
          <w:rtl/>
          <w:lang w:bidi="ar-DZ"/>
        </w:rPr>
      </w:pPr>
      <w:bookmarkStart w:id="0" w:name="_Hlk212917334"/>
      <w:r>
        <w:rPr>
          <w:rFonts w:ascii="Simplified Arabic" w:hAnsi="Simplified Arabic" w:cs="Simplified Arabic" w:hint="cs"/>
          <w:b/>
          <w:bCs/>
          <w:sz w:val="28"/>
          <w:szCs w:val="32"/>
          <w:rtl/>
          <w:lang w:bidi="ar-DZ"/>
        </w:rPr>
        <w:t xml:space="preserve">المحاضرة السادسة </w:t>
      </w:r>
      <w:r>
        <w:rPr>
          <w:rFonts w:ascii="Simplified Arabic" w:hAnsi="Simplified Arabic" w:cs="Simplified Arabic"/>
          <w:b/>
          <w:bCs/>
          <w:sz w:val="28"/>
          <w:szCs w:val="32"/>
          <w:rtl/>
          <w:lang w:bidi="ar-DZ"/>
        </w:rPr>
        <w:t xml:space="preserve">- التعسف في وضعية الهيمنة </w:t>
      </w:r>
      <w:r w:rsidR="00577E18">
        <w:rPr>
          <w:rFonts w:ascii="Simplified Arabic" w:hAnsi="Simplified Arabic" w:cs="Simplified Arabic" w:hint="cs"/>
          <w:b/>
          <w:bCs/>
          <w:sz w:val="28"/>
          <w:szCs w:val="32"/>
          <w:rtl/>
          <w:lang w:bidi="ar-DZ"/>
        </w:rPr>
        <w:t>الاقتصادية</w:t>
      </w:r>
    </w:p>
    <w:bookmarkEnd w:id="0"/>
    <w:p w14:paraId="239A1BF4"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يقصد بوضعية الهيمنة احتلال المشروع لمركز هام داخل السوق يخول له سلطة فرض قراره داخل السوق.</w:t>
      </w:r>
      <w:r>
        <w:rPr>
          <w:rStyle w:val="FootnoteReference"/>
          <w:rFonts w:ascii="Simplified Arabic" w:hAnsi="Simplified Arabic" w:cs="Simplified Arabic"/>
          <w:sz w:val="28"/>
          <w:szCs w:val="32"/>
          <w:rtl/>
          <w:lang w:bidi="ar-DZ"/>
        </w:rPr>
        <w:footnoteReference w:id="1"/>
      </w:r>
      <w:r>
        <w:rPr>
          <w:rFonts w:ascii="Simplified Arabic" w:hAnsi="Simplified Arabic" w:cs="Simplified Arabic"/>
          <w:sz w:val="28"/>
          <w:szCs w:val="32"/>
          <w:rtl/>
          <w:lang w:bidi="ar-DZ"/>
        </w:rPr>
        <w:t xml:space="preserve"> و تستعمل عدة مصطلحات للتعبير عن هذه الوضعية و هي: المركز المسيطر أو المركز الاحتكاري. </w:t>
      </w:r>
    </w:p>
    <w:p w14:paraId="6A2F13D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الوجود في هذه الوضعية لا يمنعه القانون فقد يكون المشروع في مركز مسيطر إذا لم يوجد منافسين أو نظرا لتفوقه على باقي المنافسين بالتكنولوجيا والإمكانيات المالية والبشرية التي يحوزها. لكن المشرع يمنع استغلال هذه الوضعية لتحقيق منافع تنافسية غير مشروعة.</w:t>
      </w:r>
    </w:p>
    <w:p w14:paraId="2B19F647" w14:textId="77777777" w:rsidR="00664530" w:rsidRDefault="00664530" w:rsidP="00664530">
      <w:pPr>
        <w:tabs>
          <w:tab w:val="right" w:pos="849"/>
          <w:tab w:val="right" w:pos="1132"/>
        </w:tabs>
        <w:bidi/>
        <w:spacing w:after="120"/>
        <w:ind w:left="425"/>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أ- تعريف وضعية الهيمنة:</w:t>
      </w:r>
    </w:p>
    <w:p w14:paraId="1E09D856"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عرّف المشرع الجزائري وضعية الهيمنة في المادة 03 من قانون المنافسة بكونها: </w:t>
      </w:r>
    </w:p>
    <w:p w14:paraId="7ABD2D36" w14:textId="1B7C64E2"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الوضعية التي تمكن مؤسسة ما من الحصول على مركز قوة اقتصادية في السوق المعني من شأنها عرقلة قيام منافسة فعلية فيه وتعطيها إمكانية القيام بتصرفات منفردة إلى حد مع</w:t>
      </w:r>
      <w:r w:rsidR="00A93CA4">
        <w:rPr>
          <w:rFonts w:ascii="Simplified Arabic" w:hAnsi="Simplified Arabic" w:cs="Simplified Arabic" w:hint="cs"/>
          <w:b/>
          <w:bCs/>
          <w:sz w:val="28"/>
          <w:szCs w:val="32"/>
          <w:rtl/>
          <w:lang w:bidi="ar-DZ"/>
        </w:rPr>
        <w:t>ت</w:t>
      </w:r>
      <w:r>
        <w:rPr>
          <w:rFonts w:ascii="Simplified Arabic" w:hAnsi="Simplified Arabic" w:cs="Simplified Arabic"/>
          <w:b/>
          <w:bCs/>
          <w:sz w:val="28"/>
          <w:szCs w:val="32"/>
          <w:rtl/>
          <w:lang w:bidi="ar-DZ"/>
        </w:rPr>
        <w:t>بر إزاء منافسيها ، أو زبائنها أو ممونيها ".</w:t>
      </w:r>
    </w:p>
    <w:p w14:paraId="467C65E1"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و هذا التعريف يقترب من التعريف الذي أوردته محكمة العدل الاوروبية و التي عرفته بكونه:'' المركز المسيطر هو قوة اقتصادية يحوزها مشروع معين ، تمنحه القدرة على وضع العوائق أمام المنافسة الفعلية في السوق المعني و تمكنه من اتخاذ القرارات من جانب واحد في مواجهة منافسيه وعملائه و كذلك المستهلكين ''</w:t>
      </w:r>
      <w:r>
        <w:rPr>
          <w:rStyle w:val="FootnoteReference"/>
          <w:rFonts w:ascii="Simplified Arabic" w:hAnsi="Simplified Arabic" w:cs="Simplified Arabic"/>
          <w:sz w:val="28"/>
          <w:szCs w:val="32"/>
          <w:rtl/>
          <w:lang w:bidi="ar-DZ"/>
        </w:rPr>
        <w:footnoteReference w:id="2"/>
      </w:r>
    </w:p>
    <w:p w14:paraId="2D5D4CEB"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يشمل مفهوم المركز المسيطر حيازة المشروع على قوة اقتصادية داخل السوق سواء أكان مشروع واحد أو مجموعة مشروعات مترابطة.أما إذا كان هناك عدد قليل من المشروعات تسيطر على السوق دون أن تبرم بينها عقود أو تفاهمات – حالة احتكار القلة </w:t>
      </w:r>
      <w:r>
        <w:rPr>
          <w:rFonts w:ascii="Simplified Arabic" w:hAnsi="Simplified Arabic" w:cs="Simplified Arabic"/>
          <w:sz w:val="28"/>
          <w:szCs w:val="32"/>
          <w:rtl/>
          <w:lang w:bidi="ar-DZ"/>
        </w:rPr>
        <w:lastRenderedPageBreak/>
        <w:t xml:space="preserve">غير المنظم – فلا تعتبر في مركز مسيطر ففي هذه الحالة يتم تقدير كل وضعية مؤسسة على حدى. </w:t>
      </w:r>
    </w:p>
    <w:p w14:paraId="6F5CA797" w14:textId="77777777" w:rsidR="00664530" w:rsidRDefault="00664530" w:rsidP="00664530">
      <w:pPr>
        <w:bidi/>
        <w:spacing w:after="0"/>
        <w:ind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فقد تتحصل مؤسسة على وضعية الهيمنة داخل السوق نظرا للإمكانيات المالية والتقنية التي تحوزها أو لعدم وجود منافسين آخرين. هذه الوضعية في حد ذاتها غير منافية للمنافسة إلا إذا أساء صاحب المركز المسيطر لغيره من المنافسين بغرض  تعزيز وضعينه و الإبقاء على الدور الريادي لمؤسسته في السوق والمساس بالسير الطبيعي له. وهذا ما قد يترتب عليه جعل المؤسسات الصغيرة داخل السوق في وضع تابع للمؤسسة المسيطرة التي قد تلجأ إلى إبرام اتفاقات مع المؤسسات الصغيرة تفرض فيها شروطا معينة. فتنشأ وضعية تبعية اقتصادية نتيجة للتعسف في وضعية الهيمنة.</w:t>
      </w:r>
      <w:r>
        <w:rPr>
          <w:rStyle w:val="FootnoteReference"/>
          <w:rFonts w:ascii="Simplified Arabic" w:hAnsi="Simplified Arabic" w:cs="Simplified Arabic"/>
          <w:sz w:val="28"/>
          <w:szCs w:val="32"/>
          <w:rtl/>
          <w:lang w:bidi="ar-DZ"/>
        </w:rPr>
        <w:footnoteReference w:id="3"/>
      </w:r>
    </w:p>
    <w:p w14:paraId="50962BF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ب-صور وضعية الهيمنة</w:t>
      </w:r>
      <w:r>
        <w:rPr>
          <w:rFonts w:ascii="Simplified Arabic" w:hAnsi="Simplified Arabic" w:cs="Simplified Arabic"/>
          <w:sz w:val="28"/>
          <w:szCs w:val="32"/>
          <w:rtl/>
          <w:lang w:bidi="ar-DZ"/>
        </w:rPr>
        <w:t>:</w:t>
      </w:r>
    </w:p>
    <w:p w14:paraId="2C22648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يكتسب المشروع وضعية هيمنة إما إذا كان هو محتكر للسوق أو له سلطة كبيرة على السوق.</w:t>
      </w:r>
    </w:p>
    <w:p w14:paraId="3E782E52" w14:textId="77777777" w:rsidR="00664530" w:rsidRDefault="00664530" w:rsidP="00664530">
      <w:pPr>
        <w:pStyle w:val="FootnoteText"/>
        <w:bidi/>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ب-1-حالة وضعية الهيمنة المتجسدة في احتكار مطلق للسوق :</w:t>
      </w:r>
    </w:p>
    <w:p w14:paraId="2395C300" w14:textId="77777777" w:rsidR="00664530" w:rsidRDefault="00664530" w:rsidP="00664530">
      <w:pPr>
        <w:pStyle w:val="FootnoteText"/>
        <w:bidi/>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قد يتمتع المشروع بوضعية هيمنة إذا كان يحوز على مركز مسيطر على السوق كنتيجة مباشرة لتحكمه المطلق في سير السوق. </w:t>
      </w:r>
    </w:p>
    <w:p w14:paraId="4366AE37" w14:textId="77777777" w:rsidR="00664530" w:rsidRDefault="00664530" w:rsidP="00664530">
      <w:pPr>
        <w:pStyle w:val="FootnoteText"/>
        <w:bidi/>
        <w:jc w:val="both"/>
        <w:rPr>
          <w:rFonts w:ascii="Simplified Arabic" w:hAnsi="Simplified Arabic" w:cs="Simplified Arabic"/>
          <w:b/>
          <w:bCs/>
          <w:sz w:val="32"/>
          <w:szCs w:val="32"/>
          <w:rtl/>
        </w:rPr>
      </w:pPr>
      <w:r>
        <w:rPr>
          <w:rFonts w:ascii="Simplified Arabic" w:hAnsi="Simplified Arabic" w:cs="Simplified Arabic"/>
          <w:sz w:val="28"/>
          <w:szCs w:val="32"/>
          <w:rtl/>
          <w:lang w:bidi="ar-DZ"/>
        </w:rPr>
        <w:t>ولقد اعتبر المشرع الجزائري وضعية الاحتكار بالسوق في ذاتها مقيدة للمنافسة في المادة 10 من قانون المنافسة.</w:t>
      </w:r>
      <w:r>
        <w:rPr>
          <w:rtl/>
          <w:lang w:bidi="ar-DZ"/>
        </w:rPr>
        <w:t xml:space="preserve"> </w:t>
      </w:r>
      <w:r>
        <w:rPr>
          <w:rFonts w:ascii="Simplified Arabic" w:hAnsi="Simplified Arabic" w:cs="Simplified Arabic"/>
          <w:sz w:val="36"/>
          <w:szCs w:val="36"/>
          <w:rtl/>
        </w:rPr>
        <w:t xml:space="preserve">'' </w:t>
      </w:r>
      <w:r>
        <w:rPr>
          <w:rFonts w:ascii="Simplified Arabic" w:hAnsi="Simplified Arabic" w:cs="Simplified Arabic"/>
          <w:b/>
          <w:bCs/>
          <w:sz w:val="32"/>
          <w:szCs w:val="32"/>
          <w:rtl/>
        </w:rPr>
        <w:t xml:space="preserve">يعتبر عرقلة لحرية المنافسة أو الحد منها أو إخلال بها كل عمل مهما كانت طبيعته أو موضوعه يسمح لمؤسسة </w:t>
      </w:r>
      <w:r>
        <w:rPr>
          <w:rFonts w:ascii="Simplified Arabic" w:hAnsi="Simplified Arabic" w:cs="Simplified Arabic"/>
          <w:b/>
          <w:bCs/>
          <w:sz w:val="32"/>
          <w:szCs w:val="32"/>
          <w:u w:val="single"/>
          <w:rtl/>
        </w:rPr>
        <w:t>بالاستئثار</w:t>
      </w:r>
      <w:r>
        <w:rPr>
          <w:rFonts w:ascii="Simplified Arabic" w:hAnsi="Simplified Arabic" w:cs="Simplified Arabic"/>
          <w:b/>
          <w:bCs/>
          <w:sz w:val="32"/>
          <w:szCs w:val="32"/>
          <w:rtl/>
        </w:rPr>
        <w:t xml:space="preserve"> في ممارسة نشاط يدخل في مجال تطبيق هذا الأمر ''</w:t>
      </w:r>
      <w:r>
        <w:rPr>
          <w:rStyle w:val="FootnoteReference"/>
          <w:rFonts w:ascii="Traditional Arabic" w:hAnsi="Traditional Arabic" w:cs="Traditional Arabic"/>
          <w:sz w:val="32"/>
          <w:szCs w:val="32"/>
          <w:rtl/>
          <w:lang w:bidi="ar-DZ"/>
        </w:rPr>
        <w:footnoteReference w:id="4"/>
      </w:r>
    </w:p>
    <w:p w14:paraId="55365E4E" w14:textId="77777777" w:rsidR="00664530" w:rsidRDefault="00664530" w:rsidP="00664530">
      <w:pPr>
        <w:pStyle w:val="FootnoteText"/>
        <w:bidi/>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فوضعية الاحتكار المطلق تعتبر في ذاتها مقيدة للمنافسة ماعدى  حالات الاحنكارات القانونية.</w:t>
      </w:r>
    </w:p>
    <w:p w14:paraId="21CCA683" w14:textId="77777777" w:rsidR="00664530" w:rsidRDefault="00664530" w:rsidP="00664530">
      <w:pPr>
        <w:pStyle w:val="ListParagraph"/>
        <w:tabs>
          <w:tab w:val="right" w:pos="849"/>
          <w:tab w:val="right" w:pos="1132"/>
        </w:tabs>
        <w:bidi/>
        <w:spacing w:after="120"/>
        <w:ind w:left="-2" w:firstLine="567"/>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ب-2-تمتع المشروع بسلطة كبيرة على السوق:</w:t>
      </w:r>
    </w:p>
    <w:p w14:paraId="431CB0B4"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الوضع الغالب أن يتمتع المركز المهيمن بقوة اقتصادية تسمح له بالتحكم في السوق. لم يحدد المشرع نسبة معينة ابتداءا منها يعتبر المركز مسيطر</w:t>
      </w:r>
      <w:r>
        <w:rPr>
          <w:rFonts w:ascii="Simplified Arabic" w:hAnsi="Simplified Arabic" w:cs="Simplified Arabic"/>
          <w:sz w:val="28"/>
          <w:szCs w:val="32"/>
          <w:lang w:bidi="ar-DZ"/>
        </w:rPr>
        <w:t>.</w:t>
      </w:r>
      <w:r>
        <w:rPr>
          <w:rFonts w:ascii="Simplified Arabic" w:hAnsi="Simplified Arabic" w:cs="Simplified Arabic"/>
          <w:sz w:val="28"/>
          <w:szCs w:val="32"/>
          <w:rtl/>
          <w:lang w:bidi="ar-DZ"/>
        </w:rPr>
        <w:t xml:space="preserve"> </w:t>
      </w:r>
      <w:r>
        <w:rPr>
          <w:rFonts w:ascii="Simplified Arabic" w:hAnsi="Simplified Arabic" w:cs="Simplified Arabic" w:hint="cs"/>
          <w:sz w:val="28"/>
          <w:szCs w:val="32"/>
          <w:rtl/>
          <w:lang w:bidi="ar-DZ"/>
        </w:rPr>
        <w:t>لهذا تقدير وجودها يعود للسلطة التقديرية لمجلس المنافسة وبعده للقضاء المختص.</w:t>
      </w:r>
    </w:p>
    <w:p w14:paraId="3EB3BD50"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تعتبر المؤسسة في مركز مهيمن إذا كانت تحوز على مركز مسيطر في سوق ما و تكون قادرة على القيام بدور الرائد فيه</w:t>
      </w:r>
      <w:r>
        <w:rPr>
          <w:rFonts w:ascii="Simplified Arabic" w:hAnsi="Simplified Arabic" w:cs="Simplified Arabic"/>
          <w:sz w:val="28"/>
          <w:szCs w:val="32"/>
          <w:lang w:bidi="ar-DZ"/>
        </w:rPr>
        <w:t>.</w:t>
      </w:r>
      <w:r>
        <w:rPr>
          <w:rFonts w:ascii="Simplified Arabic" w:hAnsi="Simplified Arabic" w:cs="Simplified Arabic"/>
          <w:sz w:val="28"/>
          <w:szCs w:val="32"/>
          <w:rtl/>
          <w:lang w:bidi="ar-DZ"/>
        </w:rPr>
        <w:t xml:space="preserve"> بحيث تكون المشروعات الأخرى في نفس السوق مجبرة من حيث الواقع على التوافق مع سلوكيات المشروع ذي المركز المسيطر في ذلك السوق. </w:t>
      </w:r>
      <w:r>
        <w:rPr>
          <w:rStyle w:val="FootnoteReference"/>
          <w:rFonts w:ascii="Simplified Arabic" w:hAnsi="Simplified Arabic" w:cs="Simplified Arabic"/>
          <w:sz w:val="28"/>
          <w:szCs w:val="32"/>
          <w:rtl/>
          <w:lang w:bidi="ar-DZ"/>
        </w:rPr>
        <w:footnoteReference w:id="5"/>
      </w:r>
      <w:r>
        <w:rPr>
          <w:rFonts w:ascii="Simplified Arabic" w:hAnsi="Simplified Arabic" w:cs="Simplified Arabic"/>
          <w:sz w:val="28"/>
          <w:szCs w:val="32"/>
          <w:rtl/>
          <w:lang w:bidi="ar-DZ"/>
        </w:rPr>
        <w:t xml:space="preserve"> </w:t>
      </w:r>
    </w:p>
    <w:p w14:paraId="10726A53"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فيتمتع مجلس المنافسة بسلطة التقديرية لتحديد إن كانت المؤسسة توجد في وضعية هيمنة أم لا عن طريق دراسة هيكلة السوق المعني و مدى قدرة  المؤسسة المعنية أن تؤثر فيه.بالنظر إلى حصتها فيه و الامتيازات التي تتمتع بها مثل : امتيازات قانونية أو تكنولوجية و كذا علامات مشهورة و براءات اختراع مميزة .</w:t>
      </w:r>
    </w:p>
    <w:p w14:paraId="1065B7D7" w14:textId="77777777" w:rsidR="00664530" w:rsidRDefault="00664530" w:rsidP="00664530">
      <w:pPr>
        <w:tabs>
          <w:tab w:val="right" w:pos="849"/>
          <w:tab w:val="right" w:pos="1132"/>
        </w:tabs>
        <w:bidi/>
        <w:spacing w:after="12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نلاحظ أن المشرع المصري وضع قرينة قانونية على وجود وضعية الهيمنة وهي قدرة الشخص الذي يحوز على حصة في السوق تقدر ب 25 بالمائة على الاقل في السوق المعني إحداث تأثير في سيره عن طريق التأثير في الاسعار أو حجم المعروض . فحسب </w:t>
      </w:r>
      <w:r>
        <w:rPr>
          <w:rFonts w:ascii="Simplified Arabic" w:hAnsi="Simplified Arabic" w:cs="Simplified Arabic"/>
          <w:sz w:val="28"/>
          <w:szCs w:val="32"/>
          <w:rtl/>
          <w:lang w:bidi="ar-DZ"/>
        </w:rPr>
        <w:lastRenderedPageBreak/>
        <w:t xml:space="preserve">المشرع المصري الذي لا يحوز على 25 بالمائة من السوق لا يمكن أن يكون مشروع مسيطر. </w:t>
      </w:r>
      <w:r>
        <w:rPr>
          <w:rStyle w:val="FootnoteReference"/>
          <w:rFonts w:ascii="Simplified Arabic" w:hAnsi="Simplified Arabic" w:cs="Simplified Arabic"/>
          <w:sz w:val="28"/>
          <w:szCs w:val="32"/>
          <w:rtl/>
          <w:lang w:bidi="ar-DZ"/>
        </w:rPr>
        <w:footnoteReference w:id="6"/>
      </w:r>
      <w:r>
        <w:rPr>
          <w:rFonts w:ascii="Simplified Arabic" w:hAnsi="Simplified Arabic" w:cs="Simplified Arabic"/>
          <w:sz w:val="28"/>
          <w:szCs w:val="32"/>
          <w:rtl/>
          <w:lang w:bidi="ar-DZ"/>
        </w:rPr>
        <w:t xml:space="preserve"> </w:t>
      </w:r>
    </w:p>
    <w:p w14:paraId="294A63BC"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32"/>
          <w:szCs w:val="32"/>
          <w:rtl/>
          <w:lang w:bidi="ar-DZ"/>
        </w:rPr>
      </w:pPr>
      <w:r>
        <w:rPr>
          <w:rFonts w:ascii="Simplified Arabic" w:hAnsi="Simplified Arabic" w:cs="Simplified Arabic"/>
          <w:sz w:val="28"/>
          <w:szCs w:val="32"/>
          <w:rtl/>
          <w:lang w:bidi="ar-DZ"/>
        </w:rPr>
        <w:t xml:space="preserve">أما المشرع الجزائري فلم يحدد معايير محددة لاعتبار المؤسسة مهيمنة لهذا يتمتع مجلس المنافسة بالسلطة التقديرية في ذلك .و نشير إلى أن المشرع الجزائري كان قد أحال في قانون المنافسة رقم 95-06 الملغى إلى التنظيم لتحديد المقاييس التي على أساسها تعتبر المؤسسة في وضعية هيمنة.فصدر المرسوم التنفيذي رقم 2000-314 الذي يحدد المقاييس التي على أساسها تعتبر المؤسسة مهيمنة.ولقد حددت المادة 5 منه هذه المقاييس على النحو التالي: </w:t>
      </w:r>
      <w:r>
        <w:rPr>
          <w:rFonts w:ascii="Simplified Arabic" w:hAnsi="Simplified Arabic" w:cs="Simplified Arabic"/>
          <w:b/>
          <w:bCs/>
          <w:sz w:val="28"/>
          <w:szCs w:val="32"/>
          <w:rtl/>
          <w:lang w:bidi="ar-DZ"/>
        </w:rPr>
        <w:t xml:space="preserve">'' </w:t>
      </w:r>
      <w:r>
        <w:rPr>
          <w:rFonts w:ascii="Simplified Arabic" w:hAnsi="Simplified Arabic" w:cs="Simplified Arabic"/>
          <w:b/>
          <w:bCs/>
          <w:sz w:val="32"/>
          <w:szCs w:val="32"/>
          <w:rtl/>
          <w:lang w:bidi="ar-DZ"/>
        </w:rPr>
        <w:t xml:space="preserve">يعتبر تعسفا في وضعية الهيمنة على سوق أو على جزء منه، كل فعل يرتكبه عون اقتصادي في وضعية هيمنة على السوق المعنية يستجيب على الخصوص للمقاييس التالية: </w:t>
      </w:r>
    </w:p>
    <w:p w14:paraId="25E0F8B8"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المناورات التي تهدف إلى مراقبة الدخول إلى السوق و سيرها.</w:t>
      </w:r>
    </w:p>
    <w:p w14:paraId="42B26104"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-المساس المتوقع أو الفعلي بالمنافسة.</w:t>
      </w:r>
    </w:p>
    <w:p w14:paraId="5040BCCE" w14:textId="77777777" w:rsidR="00664530" w:rsidRDefault="00664530" w:rsidP="00664530">
      <w:pPr>
        <w:pStyle w:val="ListParagraph"/>
        <w:tabs>
          <w:tab w:val="right" w:pos="849"/>
          <w:tab w:val="right" w:pos="1132"/>
          <w:tab w:val="left" w:pos="6811"/>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غياب حل بديل بسبب وضعية التبعية الاقتصادية ''</w:t>
      </w:r>
      <w:r>
        <w:rPr>
          <w:rFonts w:ascii="Simplified Arabic" w:hAnsi="Simplified Arabic" w:cs="Simplified Arabic"/>
          <w:b/>
          <w:bCs/>
          <w:sz w:val="28"/>
          <w:szCs w:val="32"/>
          <w:rtl/>
          <w:lang w:bidi="ar-DZ"/>
        </w:rPr>
        <w:tab/>
      </w:r>
    </w:p>
    <w:p w14:paraId="5E980952" w14:textId="77777777" w:rsidR="00664530" w:rsidRDefault="00664530" w:rsidP="00664530">
      <w:pPr>
        <w:pStyle w:val="ListParagraph"/>
        <w:tabs>
          <w:tab w:val="right" w:pos="849"/>
          <w:tab w:val="right" w:pos="1132"/>
          <w:tab w:val="left" w:pos="6811"/>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نلاحظ أن المعايير الواردة في هذه المادة وردت على سبيل المثال لا الحصر</w:t>
      </w: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لكون المشرع استعمل مصطلح –على الخصوص - فهي ليست قائمة حصرية ينبغي على مجلس المنافسة التقيد بها . كما أن المشرع أدرج في هذا المرسوم حالة التعسف في التبعية الاقتصادية ضمن التعسف في وضعية الهيمنة. و هو مسلك سليم لكون تحقق التعسف في وضعية التبعية لا يستوفي شروطه إلا إذا كانت هناك مؤسسة مهيمنة و مؤسسة تابعة.</w:t>
      </w:r>
    </w:p>
    <w:p w14:paraId="09AA6A81" w14:textId="0E36EE46" w:rsidR="00664530" w:rsidRDefault="00664530" w:rsidP="00664530">
      <w:pPr>
        <w:pStyle w:val="ListParagraph"/>
        <w:tabs>
          <w:tab w:val="right" w:pos="849"/>
          <w:tab w:val="right" w:pos="1132"/>
          <w:tab w:val="left" w:pos="6811"/>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لكن المشرع ألغى هذا المرسوم بالمادة 7 من قانون المنافسة و فصل بين النص القانوني المنظم للتعسف في وضعية الهيمنة و هو المادة 7 من قانون رقم 03-03 و </w:t>
      </w:r>
      <w:r>
        <w:rPr>
          <w:rFonts w:ascii="Simplified Arabic" w:hAnsi="Simplified Arabic" w:cs="Simplified Arabic"/>
          <w:sz w:val="28"/>
          <w:szCs w:val="32"/>
          <w:rtl/>
          <w:lang w:bidi="ar-DZ"/>
        </w:rPr>
        <w:lastRenderedPageBreak/>
        <w:t>النص القانوني المنظم للتعسف في وضعية التبعية الاقتصادية و هو المادة 11 من نفس القانون.</w:t>
      </w:r>
    </w:p>
    <w:p w14:paraId="69C496E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ج- حالات التعسف في وضعية الهيمنة:</w:t>
      </w:r>
    </w:p>
    <w:p w14:paraId="35DEE78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لا يعد وجود المشروع في المركز المهيمن تعسفًا في ذاته حتى ولو تركزت السلطة في يد المشروع المسيطر لوحده فإن المشرع يحرم التعسف فيه وليس وجوده فقط. </w:t>
      </w:r>
    </w:p>
    <w:p w14:paraId="4365E3D0"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لهذا لتقدير وجود هذا التعسف يجب أن يأخذ مجلس المنافسة بعين الاعتبار العناصر التالية :</w:t>
      </w:r>
    </w:p>
    <w:p w14:paraId="36E1895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حصة المؤسسة من السوق المعني .</w:t>
      </w:r>
    </w:p>
    <w:p w14:paraId="055F96B8"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-قدرة المؤسسة على إحداث تأثير فعال في أسعار المنتجات أو في حجم المعروض منها في السوق المعنية.</w:t>
      </w:r>
    </w:p>
    <w:p w14:paraId="3F25D3D4"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-عدم تمكن باقي المتدخلين في السوق سواء المتعاملين معهم أو منافسيهم أو المستهلكين من أن يؤثروا فعليا في سير السوق المعني .</w:t>
      </w:r>
    </w:p>
    <w:p w14:paraId="293C54B1" w14:textId="77777777" w:rsidR="00664530" w:rsidRDefault="00664530" w:rsidP="00664530">
      <w:pPr>
        <w:tabs>
          <w:tab w:val="right" w:pos="1132"/>
        </w:tabs>
        <w:bidi/>
        <w:spacing w:after="120"/>
        <w:ind w:left="141"/>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وحددت المادة 07 من قانون المنافسة المقصود بالتعسف في وضعية الهيمنة عن طريق تحديد الهدف الذي يسعى المشروع المسيطر لتحقيقه. أي أن الوجود في وضعية الهيمنة إذا كان الهدف منه تحقيق أحد الممارسات المذكورة فيها فهو تعسفًا.</w:t>
      </w:r>
    </w:p>
    <w:p w14:paraId="0A89DAA1" w14:textId="77777777" w:rsidR="00664530" w:rsidRDefault="00664530" w:rsidP="00664530">
      <w:pPr>
        <w:tabs>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نلاحظ أن المشرع أخذ بالقصد دون أن يشترط أن يتحقق هذا الهدف في الواقع. فهذه الممارسات هي نفسها المذكورة في المادة 6 من قانون المنافسة و التي قمنا بشرحها فيما يخص التواطؤ. و المشرع لم يضف لها حالة عروض الصفقات العمومية في تعديل 2008 لكون هذه الاخيرة تتعلق باتفاق المتعاملين الراغبين في كسب صفقة ما.</w:t>
      </w:r>
    </w:p>
    <w:p w14:paraId="6594FB2C" w14:textId="77777777" w:rsidR="00664530" w:rsidRDefault="00664530" w:rsidP="00664530">
      <w:pPr>
        <w:tabs>
          <w:tab w:val="right" w:pos="1132"/>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عليه يمكن اختصارها فيما يلي : </w:t>
      </w:r>
    </w:p>
    <w:p w14:paraId="1F74B907"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الممارسات التعسفية التي قد تصدر عن المؤسسة المهيمنة المتعلقة بالأسعار:</w:t>
      </w:r>
    </w:p>
    <w:p w14:paraId="5BEB068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lastRenderedPageBreak/>
        <w:t xml:space="preserve">نص المشرع على هذه الممارسات الفقرة 4 من المادة 7 من قانون المنافسة و التي ورد فيها </w:t>
      </w:r>
      <w:r>
        <w:rPr>
          <w:rFonts w:ascii="Simplified Arabic" w:hAnsi="Simplified Arabic" w:cs="Simplified Arabic"/>
          <w:b/>
          <w:bCs/>
          <w:sz w:val="28"/>
          <w:szCs w:val="32"/>
          <w:rtl/>
          <w:lang w:bidi="ar-DZ"/>
        </w:rPr>
        <w:t xml:space="preserve">: '' عرقلة تحديد الأسعار حسب قواعد السوق بالتشجيع المصطنع لارتفاع الأسعار أو لانخفاضها . '' </w:t>
      </w:r>
    </w:p>
    <w:p w14:paraId="62673439"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لقد عرفت هذه الممارسة كما يلي : قيام منشأة تستهدف إقصاء منشأة أخرى أو أكثر من نشاط معين أو تثبيط همة منافس محتمل يحاول دخول السوق بفرض أسعار جد منخفضة ربما أقل من سعر التكلفة و إطلاق إنتاج غزير من منتج معين للأسواق لفترة مؤقتة تتمكن بعدها من استبعاد المنافسين و فرض أسعار مرتفعة غير قابلة للمنافسة تعويضا عن الخسائر التي تكبدتها خلال فترة ذلك التسعير المصطنع</w:t>
      </w:r>
      <w:r>
        <w:rPr>
          <w:rStyle w:val="FootnoteReference"/>
          <w:rFonts w:ascii="Simplified Arabic" w:hAnsi="Simplified Arabic" w:cs="Simplified Arabic"/>
          <w:sz w:val="28"/>
          <w:szCs w:val="32"/>
          <w:rtl/>
          <w:lang w:bidi="ar-DZ"/>
        </w:rPr>
        <w:footnoteReference w:id="7"/>
      </w:r>
    </w:p>
    <w:p w14:paraId="2C4B6937"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هذا ما يسمى بالتسعير العدواني</w:t>
      </w: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فقد تلجأ المؤسسة المهيمنة إلى السعر كوسيلة للقضاء على المنافسين الموجودين في السوق أو القضاء على قدرتهم التنافسية . فعوض أن يخضع تحديد السعر في السوق لقواعد العرض و الطلب ، يقوم صاحب المركز المسيطر بتسعير السلع أو الخدمة بأقل من تكلفتها و إطلاق نسبة كبيرة من المنتوج في السوق لفترة مؤقتة و هذا ما يؤدي إلى استبعاد المنافسين الآخرين ثم تقوم بتعويض خسائرها و تحقيق أرباح احتكارية إذ تستطيع أن ترفع السعر بعد تحقيق هدفها و تتحكم فيه كما تشاء .</w:t>
      </w:r>
    </w:p>
    <w:p w14:paraId="64103C25" w14:textId="77777777" w:rsidR="00664530" w:rsidRDefault="00664530" w:rsidP="00664530">
      <w:pPr>
        <w:tabs>
          <w:tab w:val="right" w:pos="1132"/>
        </w:tabs>
        <w:bidi/>
        <w:spacing w:after="120"/>
        <w:ind w:firstLine="709"/>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كما أن الفقرة 5 من نفس المادة تتناول حالة التسعير التمييزي إذ ورد فيها : </w:t>
      </w:r>
      <w:r>
        <w:rPr>
          <w:rFonts w:ascii="Simplified Arabic" w:hAnsi="Simplified Arabic" w:cs="Simplified Arabic"/>
          <w:b/>
          <w:bCs/>
          <w:sz w:val="28"/>
          <w:szCs w:val="32"/>
          <w:rtl/>
          <w:lang w:bidi="ar-DZ"/>
        </w:rPr>
        <w:t xml:space="preserve"> </w:t>
      </w:r>
    </w:p>
    <w:p w14:paraId="5DE03720" w14:textId="77777777" w:rsidR="00664530" w:rsidRDefault="00664530" w:rsidP="00664530">
      <w:pPr>
        <w:tabs>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w:t>
      </w: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تطبيق شروط غير متكافئة لنفس الخدمات اتجاه الشركاء التجاريين مما يحرمهم من منافع المنافسة.</w:t>
      </w:r>
      <w:r>
        <w:rPr>
          <w:rFonts w:ascii="Simplified Arabic" w:hAnsi="Simplified Arabic" w:cs="Simplified Arabic"/>
          <w:sz w:val="28"/>
          <w:szCs w:val="32"/>
          <w:rtl/>
          <w:lang w:bidi="ar-DZ"/>
        </w:rPr>
        <w:t xml:space="preserve"> ''</w:t>
      </w:r>
    </w:p>
    <w:p w14:paraId="7DAF9EBD"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ففي هذه  الحالة يقوم صاحب المركز المسيطر بالتمييز بين بائعين أو مشترين تتشابه مراكزهم التجارة في أسعار البيع أو الشراء أو في شروط التعامل فتتحقق هذه الحالة مثلا في بيع سلعتين متماثلتين من حيث الجودة والكمية و الدرجة بسعرين مختلفين  و يشترط أن يتم </w:t>
      </w:r>
      <w:r>
        <w:rPr>
          <w:rFonts w:ascii="Simplified Arabic" w:hAnsi="Simplified Arabic" w:cs="Simplified Arabic"/>
          <w:sz w:val="28"/>
          <w:szCs w:val="32"/>
          <w:rtl/>
          <w:lang w:bidi="ar-DZ"/>
        </w:rPr>
        <w:lastRenderedPageBreak/>
        <w:t>ذلك في نفس القترة أما إذا كان في فترتين مختلفتين فلا يعتبر تمييزا لكون البائع له الحق أن يبيع. للمشتري واحد سلعة نفسها بسعر مختلف من فترة لأخرى .</w:t>
      </w:r>
    </w:p>
    <w:p w14:paraId="5569A9E0"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تظهر خطورة هذا التمييز السعري في كونه أداة خطيرة بيد صاحب المركز المسيطر لزيادة أرباحه و لا تمارس إلا من طرف من له مركز مسيطر على السوق و تتعارض مع مفهوم المساواة في الفرص التجارية و الحفاظ على اقتصاد تنافسي .</w:t>
      </w:r>
      <w:r>
        <w:rPr>
          <w:rStyle w:val="FootnoteReference"/>
          <w:rFonts w:ascii="Simplified Arabic" w:hAnsi="Simplified Arabic" w:cs="Simplified Arabic"/>
          <w:sz w:val="28"/>
          <w:szCs w:val="32"/>
          <w:rtl/>
          <w:lang w:bidi="ar-DZ"/>
        </w:rPr>
        <w:footnoteReference w:id="8"/>
      </w:r>
    </w:p>
    <w:p w14:paraId="51A6E1E5"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هنا لا يقتصر الحضر على التمييز في السعر بمفهومه الضيق لكنه يخص التمييز في شروط التعامل – مقابل التعامل – لكن هذا التمييز لا يعتبر في ذاته مقيدا للمنافسة لأنه قد تلجأ مؤسسة إلى تخفيض السعر مثلا لمؤسسة تتعامل معها بصفة حصرية أو نظرا للكمية الاجمالية التي قامت باقتنائها لكن يحضر التميز في التعامل الذي يرمي إلى جعل المنافس في وضع تنافسي سيئ و لقد أكدت ذلك الفقرة السابقة و اشترطت أن يؤدي إلى حرمان المتعامل مع المؤسسة المهيمنة من منافع المنافسة .</w:t>
      </w:r>
    </w:p>
    <w:p w14:paraId="0A350123"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و يمتد هذا التمييز في شروط التعامل التي أساسها تحديد مدى التعادل في المقابل بين  السعر و المنتوج و ذلك في الفقرة الاخيرة من المادة 7 و التي ورد فيها : '' </w:t>
      </w:r>
      <w:r>
        <w:rPr>
          <w:rFonts w:ascii="Simplified Arabic" w:hAnsi="Simplified Arabic" w:cs="Simplified Arabic"/>
          <w:b/>
          <w:bCs/>
          <w:sz w:val="28"/>
          <w:szCs w:val="32"/>
          <w:rtl/>
          <w:lang w:bidi="ar-DZ"/>
        </w:rPr>
        <w:t>إخضاع إبرام العقود مع الشركاء التجاريين لقبولهم خدمات إضافية ليس لها صلة  بموضوع هذه العقود سواء بحكم طبيعتها أو حسب الأعراف التجارية .''</w:t>
      </w:r>
    </w:p>
    <w:p w14:paraId="2E794141"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ففي هذه الحالة تجأ المؤسسة المهيمنة إلى فرض شروط بيع متلازم على المتعاملين معها و الذين تعودوا على التموين من عنده لهذا فهذا الحضر يخص العقود المبرمة مع الشركاء التجاريين لا المستهلك النهائي .</w:t>
      </w:r>
    </w:p>
    <w:p w14:paraId="7CC93486"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يشترط لتوافر هذه الممارسة و يطلق عليها كذلك مصطلح اتفاقات الربط توافر الشرطين التالية : </w:t>
      </w:r>
    </w:p>
    <w:p w14:paraId="4DF0F7AF"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-تمتع المؤسسة القائمة بالبيع بقوة اقتصادية كافية لفرض إرادتها في سوق المنتج المربوط.</w:t>
      </w:r>
    </w:p>
    <w:p w14:paraId="305AC9EB"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-يجب أن يكون هناك منتجان منفصلان و متميزان. فلو أن الصفقة تضمنت شيئين مرتبطين مع بعض بشكل كبير فلا تعتبر تعسفا.</w:t>
      </w:r>
    </w:p>
    <w:p w14:paraId="260111F1"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الممارسات التعسفية التي قد تصدر عن المؤسسة المهيمنة المتعلقة بهيكلة  السوق  :</w:t>
      </w:r>
    </w:p>
    <w:p w14:paraId="121A0EAA" w14:textId="77777777" w:rsidR="00664530" w:rsidRDefault="00664530" w:rsidP="00664530">
      <w:pPr>
        <w:tabs>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تضمنت الفقرات الأخرى من المادة 7 ممارسات تعسفية تلجأ إليها المؤسسة المسيطرة بغرض التأثير في تنظيم السوق المعني و منع وجود منافسة حقيقية فيه سواء تعلق الامر ب وضع عراقيل أمام دخول منافسين محتملين إلى السوق المعني : ''</w:t>
      </w:r>
      <w:r>
        <w:rPr>
          <w:rFonts w:ascii="Simplified Arabic" w:hAnsi="Simplified Arabic" w:cs="Simplified Arabic"/>
          <w:b/>
          <w:bCs/>
          <w:sz w:val="28"/>
          <w:szCs w:val="32"/>
          <w:rtl/>
          <w:lang w:bidi="ar-DZ"/>
        </w:rPr>
        <w:t xml:space="preserve">الحد من الدخول في السوق أو في ممارسة النشاطات التجارية فيه.'' </w:t>
      </w:r>
      <w:r>
        <w:rPr>
          <w:rFonts w:ascii="Simplified Arabic" w:hAnsi="Simplified Arabic" w:cs="Simplified Arabic"/>
          <w:sz w:val="28"/>
          <w:szCs w:val="32"/>
          <w:rtl/>
          <w:lang w:bidi="ar-DZ"/>
        </w:rPr>
        <w:t xml:space="preserve">و ذلك لكي تحافظ على مركزها المسيطر فيه . و أو تعلق الأمر في التأثير على نشاط المنافسين الموجودين في السوق عن طريق إقتسام السوق و التحكم في عمليات إنتاج المنتجات أو توزيعها و التي نصت عليها الفقرتين 2 و 3 من المادة 7 على النحو التالي :  </w:t>
      </w:r>
    </w:p>
    <w:p w14:paraId="0CB14782" w14:textId="77777777" w:rsidR="00664530" w:rsidRDefault="00664530" w:rsidP="00664530">
      <w:pPr>
        <w:tabs>
          <w:tab w:val="right" w:pos="849"/>
          <w:tab w:val="right" w:pos="1132"/>
        </w:tabs>
        <w:bidi/>
        <w:spacing w:after="120"/>
        <w:ind w:left="709"/>
        <w:jc w:val="both"/>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''تقليص أو مراقبة الإنتاج أو منافذ التسويق أو الاستثمارات أو التطور التقني.''</w:t>
      </w:r>
    </w:p>
    <w:p w14:paraId="0810FF1A" w14:textId="77777777" w:rsidR="00664530" w:rsidRDefault="00664530" w:rsidP="00664530">
      <w:pPr>
        <w:tabs>
          <w:tab w:val="right" w:pos="849"/>
          <w:tab w:val="right" w:pos="1132"/>
        </w:tabs>
        <w:bidi/>
        <w:spacing w:after="120"/>
        <w:ind w:left="709"/>
        <w:jc w:val="both"/>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 اقتسام الأسواق أو مصادر التموين.''</w:t>
      </w:r>
    </w:p>
    <w:p w14:paraId="0F1736C1" w14:textId="77777777" w:rsidR="00664530" w:rsidRDefault="00664530" w:rsidP="00664530">
      <w:pPr>
        <w:tabs>
          <w:tab w:val="right" w:pos="849"/>
          <w:tab w:val="right" w:pos="1132"/>
        </w:tabs>
        <w:bidi/>
        <w:spacing w:after="120"/>
        <w:ind w:left="709"/>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د-الترخيص لوضعية الهيمنة :</w:t>
      </w:r>
    </w:p>
    <w:p w14:paraId="089C4755"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بناءا على نص المادتين 8 و9 من قانون المنافسة يمكن لمجلس المنافسة أن يرخص لوضعية الهيمنة حسب الشروط و الاجراءات المحددة في المرسوم التنفيذي رقم 05-175  المذكور سابقا . فيما يخص الحالات التي يتم إثبات أن هذا الممارسات تحقق مصلحة عامة للاقتصاد الوطني معتبرة مقارنة بمدى إضرارها بالمنافسة .</w:t>
      </w:r>
    </w:p>
    <w:p w14:paraId="6E694AB6"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و عرف هذا المرسوم في مادته الثانية التصريح بعدم التدخل بكونه التصريح الذي يسلمه مجلس المنافسة بناءا على طلب المؤسسات المعنية يلاحظ بموجبه عدم وجود داع لتدخله بخصوص الممارسات المنصوص عليها في المادتين 6 و7 من الامر 03-03 .</w:t>
      </w:r>
    </w:p>
    <w:p w14:paraId="58642938"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وحسب المادة 3 من نفس المرسوم يقدم طلب الحصول على الترخيص بعدم التدخل المؤسسات المعنية أو ممثليها الذين يجبوا أي يستظهروا تفويضا مكتوبا يبين صفة التمثيل المخولة لهم . و يتكون الملف حسب نص المادة 4 من نفس المرسوم من : </w:t>
      </w:r>
    </w:p>
    <w:p w14:paraId="158E21FD"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طلب مؤرخ و موقع من المؤسسات المعنية أو ممثليها المفوضين قانونا حسب النموذج الملحق بهذا المرسوم .واستمارة معلومات ترفق بالطلب عنوانها '' استمارة معلومات للحصول على ترخيص بعدم التدخل و حسب النموذج المرفق بالمرسوم. -النموذجين متوفرين على الموقع الالكتروني لمجلس المنافسة الجزائري .</w:t>
      </w:r>
      <w:r>
        <w:rPr>
          <w:rStyle w:val="FootnoteReference"/>
          <w:rFonts w:ascii="Simplified Arabic" w:hAnsi="Simplified Arabic" w:cs="Simplified Arabic"/>
          <w:sz w:val="28"/>
          <w:szCs w:val="32"/>
          <w:rtl/>
          <w:lang w:bidi="ar-DZ"/>
        </w:rPr>
        <w:footnoteReference w:id="9"/>
      </w:r>
    </w:p>
    <w:p w14:paraId="08BA95D2"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-اثبات  الصلاحيات المخولة للشخص أو الاشخاص المفوضين الذين يقدمون طلب الحصول على الترخيص بعدم التدخل .</w:t>
      </w:r>
    </w:p>
    <w:p w14:paraId="79124186"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نسخة مطابقة للأصل من القانون الاساسي للمؤسسة أو المؤسسات المعنية الاطراف في طلب الحصول على تصريح بعدم التدخل .</w:t>
      </w:r>
    </w:p>
    <w:p w14:paraId="4C68A046"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نسخة من الحصائل المالية الثلاث الاخيرة المؤشر و المصادق عليها من محافظ الحسابات أو نسخة واحدة من السنة الأخيرة إذا كان تأسيس المؤسسة لا يتجاوز 3 سنوات .</w:t>
      </w:r>
    </w:p>
    <w:p w14:paraId="64D97B2A"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إذا كان الطلب مشترك يمكن تقديم ملف واحد.</w:t>
      </w:r>
    </w:p>
    <w:p w14:paraId="0656DD04"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يرسل الملف في 5 نسخ و يجب أن تكون الوثائق المرفقة أصلية أو مصادق عليها طبقا للأصل إذا كانت صورة.</w:t>
      </w:r>
    </w:p>
    <w:p w14:paraId="4D69A55D"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يودع هذا الطلب لدى الامانة العامة لمجلس المنافسة مقابل وصل استلام .</w:t>
      </w:r>
    </w:p>
    <w:p w14:paraId="68F9C27D"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و يمكن للمقرر أن يطلب من المؤسسات أن تطلعه على معلومات أو مستندات إضافية. </w:t>
      </w:r>
    </w:p>
    <w:p w14:paraId="50A73038" w14:textId="77777777" w:rsidR="00664530" w:rsidRDefault="00664530" w:rsidP="00664530">
      <w:pPr>
        <w:tabs>
          <w:tab w:val="right" w:pos="141"/>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منح المشرع الحق للمؤسسات المعنية بهذا الطلب أن تطلب أن تكون المعلومات و المستندات المقدمة للمجلس محمية بسرية الاعمال . و في هذه الحالة يجب أن ترسل أو تودع المعلومات أو المستندات بصفة منفصلة و يجب أن تحمل فوق كل صفحة عبارة '' سرية الاعمال ''</w:t>
      </w:r>
    </w:p>
    <w:p w14:paraId="38F1A305" w14:textId="77777777" w:rsidR="00664530" w:rsidRDefault="00664530" w:rsidP="00664530">
      <w:pPr>
        <w:pStyle w:val="ListParagraph"/>
        <w:tabs>
          <w:tab w:val="right" w:pos="849"/>
          <w:tab w:val="right" w:pos="1132"/>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ه-الجزاءات المترتبة على التعسف في وضعية الهيمنة:</w:t>
      </w:r>
    </w:p>
    <w:p w14:paraId="2907C604" w14:textId="77777777" w:rsidR="00664530" w:rsidRDefault="00664530" w:rsidP="00664530">
      <w:pPr>
        <w:pStyle w:val="ListParagraph"/>
        <w:tabs>
          <w:tab w:val="right" w:pos="849"/>
          <w:tab w:val="right" w:pos="1132"/>
        </w:tabs>
        <w:bidi/>
        <w:spacing w:after="120"/>
        <w:ind w:left="-2"/>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فإذا تحقق التعسف في وضعية الهيمنة و الذي يتجسد في قيام المؤسسة المهيمنة بأحد الممارسات التعسفية و التي ترتب إضرارا محسوسا بالمنافسة الحرة. فلا يكفي لإدانتها امتلاكها لقوة اقتصادية </w:t>
      </w:r>
    </w:p>
    <w:p w14:paraId="2A446112" w14:textId="77777777" w:rsidR="00664530" w:rsidRDefault="00664530" w:rsidP="00664530">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رتب المشرع على التعسف في وضعية الهيمنة نفس الجزاءات المترتبة على التواطؤ حسب نصوص المواد من  المادة 56 إلى المادة 60 .و المواد 62  و 62 مكرر و 62 مكرر1. </w:t>
      </w:r>
    </w:p>
    <w:p w14:paraId="1557467E" w14:textId="77777777" w:rsidR="00A27643" w:rsidRDefault="00A27643" w:rsidP="00664530">
      <w:pPr>
        <w:bidi/>
        <w:rPr>
          <w:lang w:bidi="ar-DZ"/>
        </w:rPr>
      </w:pPr>
    </w:p>
    <w:sectPr w:rsidR="00A27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A4D2" w14:textId="77777777" w:rsidR="00033F37" w:rsidRDefault="00033F37" w:rsidP="00664530">
      <w:pPr>
        <w:spacing w:after="0" w:line="240" w:lineRule="auto"/>
      </w:pPr>
      <w:r>
        <w:separator/>
      </w:r>
    </w:p>
  </w:endnote>
  <w:endnote w:type="continuationSeparator" w:id="0">
    <w:p w14:paraId="37CA91CE" w14:textId="77777777" w:rsidR="00033F37" w:rsidRDefault="00033F37" w:rsidP="0066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B53E" w14:textId="77777777" w:rsidR="00033F37" w:rsidRDefault="00033F37" w:rsidP="00664530">
      <w:pPr>
        <w:spacing w:after="0" w:line="240" w:lineRule="auto"/>
      </w:pPr>
      <w:r>
        <w:separator/>
      </w:r>
    </w:p>
  </w:footnote>
  <w:footnote w:type="continuationSeparator" w:id="0">
    <w:p w14:paraId="77C57C7D" w14:textId="77777777" w:rsidR="00033F37" w:rsidRDefault="00033F37" w:rsidP="00664530">
      <w:pPr>
        <w:spacing w:after="0" w:line="240" w:lineRule="auto"/>
      </w:pPr>
      <w:r>
        <w:continuationSeparator/>
      </w:r>
    </w:p>
  </w:footnote>
  <w:footnote w:id="1">
    <w:p w14:paraId="1C4CAC4F" w14:textId="77777777" w:rsidR="00664530" w:rsidRDefault="00664530" w:rsidP="00664530">
      <w:pPr>
        <w:pStyle w:val="FootnoteText"/>
        <w:rPr>
          <w:rtl/>
        </w:rPr>
      </w:pPr>
      <w:r>
        <w:rPr>
          <w:rStyle w:val="FootnoteReference"/>
        </w:rPr>
        <w:footnoteRef/>
      </w:r>
      <w:r>
        <w:t xml:space="preserve"> -</w:t>
      </w:r>
      <w:r>
        <w:rPr>
          <w:rtl/>
        </w:rPr>
        <w:t xml:space="preserve">- </w:t>
      </w:r>
      <w:r>
        <w:t>louis Vogel</w:t>
      </w:r>
      <w:r>
        <w:rPr>
          <w:rtl/>
        </w:rPr>
        <w:t xml:space="preserve">, </w:t>
      </w:r>
      <w:r>
        <w:t>op.cit.p99.</w:t>
      </w:r>
    </w:p>
  </w:footnote>
  <w:footnote w:id="2">
    <w:p w14:paraId="447B1217" w14:textId="77777777" w:rsidR="00664530" w:rsidRDefault="00664530" w:rsidP="00664530">
      <w:pPr>
        <w:pStyle w:val="FootnoteText"/>
        <w:bidi/>
        <w:rPr>
          <w:lang w:bidi="ar-DZ"/>
        </w:rPr>
      </w:pPr>
      <w:r>
        <w:rPr>
          <w:rStyle w:val="FootnoteReference"/>
        </w:rPr>
        <w:footnoteRef/>
      </w:r>
      <w:r>
        <w:t xml:space="preserve"> </w:t>
      </w:r>
      <w:r>
        <w:rPr>
          <w:rtl/>
        </w:rPr>
        <w:t>- ورد في : لينا حسن ذكي ـ المرجع السابق ، ص178.</w:t>
      </w:r>
    </w:p>
  </w:footnote>
  <w:footnote w:id="3">
    <w:p w14:paraId="4071C975" w14:textId="77777777" w:rsidR="00664530" w:rsidRDefault="00664530" w:rsidP="00664530">
      <w:pPr>
        <w:pStyle w:val="FootnoteText"/>
        <w:rPr>
          <w:rtl/>
          <w:lang w:bidi="ar-DZ"/>
        </w:rPr>
      </w:pPr>
      <w:r>
        <w:rPr>
          <w:rStyle w:val="FootnoteReference"/>
        </w:rPr>
        <w:footnoteRef/>
      </w:r>
      <w:r>
        <w:t xml:space="preserve"> </w:t>
      </w:r>
      <w:r>
        <w:rPr>
          <w:rtl/>
        </w:rPr>
        <w:t xml:space="preserve"> - </w:t>
      </w:r>
      <w:r>
        <w:t>louis Vogel , droit de la concurrence , paris ,sas</w:t>
      </w:r>
      <w:r>
        <w:rPr>
          <w:rtl/>
        </w:rPr>
        <w:t xml:space="preserve"> </w:t>
      </w:r>
      <w:r>
        <w:t>Law</w:t>
      </w:r>
      <w:r>
        <w:rPr>
          <w:rtl/>
        </w:rPr>
        <w:t xml:space="preserve"> </w:t>
      </w:r>
      <w:r>
        <w:t>lax ,2012 p65.</w:t>
      </w:r>
    </w:p>
  </w:footnote>
  <w:footnote w:id="4">
    <w:p w14:paraId="684A63D2" w14:textId="77777777" w:rsidR="00664530" w:rsidRDefault="00664530" w:rsidP="00664530">
      <w:pPr>
        <w:pStyle w:val="FootnoteText"/>
        <w:bidi/>
        <w:jc w:val="both"/>
        <w:rPr>
          <w:b/>
          <w:bCs/>
          <w:lang w:bidi="ar-DZ"/>
        </w:rPr>
      </w:pPr>
      <w:r>
        <w:rPr>
          <w:rStyle w:val="FootnoteReference"/>
        </w:rPr>
        <w:footnoteRef/>
      </w:r>
      <w:r>
        <w:t xml:space="preserve"> </w:t>
      </w:r>
      <w:r>
        <w:rPr>
          <w:rtl/>
        </w:rPr>
        <w:t xml:space="preserve">- عدل المشرع نص المادة 10 من قانون المنافسة في 2008 . ففي قانون 2003 كان نص المادة على النحو التالي : </w:t>
      </w:r>
      <w:r>
        <w:rPr>
          <w:b/>
          <w:bCs/>
          <w:rtl/>
        </w:rPr>
        <w:t xml:space="preserve">''يعتبر عرقلة لحرية المنافسة أو الحد منها أو الاخلال بها كل عقد شراء استئثاري يسمح باحتكار التوزيع في السوق </w:t>
      </w:r>
      <w:r>
        <w:rPr>
          <w:rtl/>
        </w:rPr>
        <w:t xml:space="preserve">'' فهذا النص كان يتعلق فقط بعقود التوزيع الحصرية . في حين جاء نص المادة 10 المعدلة أشمل إذ أنه يطبق على كل صور الاحتكار التي قد تتحقق في السوق المعني : '' </w:t>
      </w:r>
      <w:r>
        <w:rPr>
          <w:b/>
          <w:bCs/>
          <w:rtl/>
        </w:rPr>
        <w:t>يعتبر عرقلة لحرية المنافسة أو الحد منها أو إخلال بها كل عمل مهما كانت طبيعته أو موضوعه يسمح لمؤسسة بالاستئثار في ممارسة نشاط يدخل في مجال تطبيق هذا الأمر''</w:t>
      </w:r>
    </w:p>
  </w:footnote>
  <w:footnote w:id="5">
    <w:p w14:paraId="08E452B9" w14:textId="77777777" w:rsidR="00664530" w:rsidRDefault="00664530" w:rsidP="00664530">
      <w:pPr>
        <w:pStyle w:val="FootnoteText"/>
        <w:jc w:val="right"/>
        <w:rPr>
          <w:rtl/>
          <w:lang w:bidi="ar-DZ"/>
        </w:rPr>
      </w:pPr>
      <w:r>
        <w:rPr>
          <w:rtl/>
        </w:rPr>
        <w:t>- معيين فندي الشناق ، المرجع السابق ، ص120.</w:t>
      </w:r>
      <w:r>
        <w:rPr>
          <w:rStyle w:val="FootnoteReference"/>
        </w:rPr>
        <w:footnoteRef/>
      </w:r>
      <w:r>
        <w:t xml:space="preserve"> </w:t>
      </w:r>
    </w:p>
  </w:footnote>
  <w:footnote w:id="6">
    <w:p w14:paraId="3A46381B" w14:textId="77777777" w:rsidR="00664530" w:rsidRDefault="00664530" w:rsidP="00664530">
      <w:pPr>
        <w:pStyle w:val="FootnoteText"/>
        <w:bidi/>
        <w:rPr>
          <w:rtl/>
          <w:lang w:bidi="ar-DZ"/>
        </w:rPr>
      </w:pPr>
      <w:r>
        <w:rPr>
          <w:rStyle w:val="FootnoteReference"/>
        </w:rPr>
        <w:footnoteRef/>
      </w:r>
      <w:r>
        <w:t xml:space="preserve"> </w:t>
      </w:r>
      <w:r>
        <w:rPr>
          <w:rtl/>
        </w:rPr>
        <w:t>- د- لينا حسن ذكي ، المرجع السابق ، ص159 .</w:t>
      </w:r>
    </w:p>
  </w:footnote>
  <w:footnote w:id="7">
    <w:p w14:paraId="32E346CA" w14:textId="77777777" w:rsidR="00664530" w:rsidRDefault="00664530" w:rsidP="00664530">
      <w:pPr>
        <w:pStyle w:val="FootnoteText"/>
        <w:bidi/>
        <w:rPr>
          <w:rtl/>
          <w:lang w:bidi="ar-DZ"/>
        </w:rPr>
      </w:pPr>
      <w:r>
        <w:rPr>
          <w:rStyle w:val="FootnoteReference"/>
        </w:rPr>
        <w:footnoteRef/>
      </w:r>
      <w:r>
        <w:t xml:space="preserve"> </w:t>
      </w:r>
      <w:r>
        <w:rPr>
          <w:rtl/>
        </w:rPr>
        <w:t>- عبد الناصر فتحي جلوي محمد ، المرجع السابق ، ص357.</w:t>
      </w:r>
    </w:p>
  </w:footnote>
  <w:footnote w:id="8">
    <w:p w14:paraId="541F8B33" w14:textId="77777777" w:rsidR="00664530" w:rsidRDefault="00664530" w:rsidP="00664530">
      <w:pPr>
        <w:pStyle w:val="FootnoteText"/>
        <w:bidi/>
        <w:rPr>
          <w:rtl/>
          <w:lang w:bidi="ar-DZ"/>
        </w:rPr>
      </w:pPr>
      <w:r>
        <w:rPr>
          <w:rStyle w:val="FootnoteReference"/>
        </w:rPr>
        <w:footnoteRef/>
      </w:r>
      <w:r>
        <w:t xml:space="preserve"> </w:t>
      </w:r>
      <w:r>
        <w:rPr>
          <w:rtl/>
        </w:rPr>
        <w:t>- عبد الناصر فتحي جلوي محمد ، المرجع السابق ، ص354.</w:t>
      </w:r>
    </w:p>
  </w:footnote>
  <w:footnote w:id="9">
    <w:p w14:paraId="592BF8DF" w14:textId="77777777" w:rsidR="00664530" w:rsidRDefault="00664530" w:rsidP="00664530">
      <w:pPr>
        <w:pStyle w:val="FootnoteText"/>
        <w:bidi/>
        <w:rPr>
          <w:rtl/>
          <w:lang w:bidi="ar-DZ"/>
        </w:rPr>
      </w:pPr>
      <w:r>
        <w:rPr>
          <w:rStyle w:val="FootnoteReference"/>
        </w:rPr>
        <w:footnoteRef/>
      </w:r>
      <w:r>
        <w:t xml:space="preserve"> </w:t>
      </w:r>
      <w:r>
        <w:rPr>
          <w:rtl/>
        </w:rPr>
        <w:t xml:space="preserve">-  متوفر على الموقع الالكتروني لمجلس المنافسة : </w:t>
      </w:r>
      <w:hyperlink r:id="rId1" w:history="1">
        <w:r>
          <w:rPr>
            <w:rStyle w:val="Hyperlink"/>
          </w:rPr>
          <w:t>www.conseil.-concurrence.dz</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E82"/>
    <w:rsid w:val="00033F37"/>
    <w:rsid w:val="00061503"/>
    <w:rsid w:val="00090DAB"/>
    <w:rsid w:val="001718E4"/>
    <w:rsid w:val="00370E82"/>
    <w:rsid w:val="00471CA8"/>
    <w:rsid w:val="00541070"/>
    <w:rsid w:val="00577E18"/>
    <w:rsid w:val="00664530"/>
    <w:rsid w:val="006A3189"/>
    <w:rsid w:val="007679CF"/>
    <w:rsid w:val="009206FB"/>
    <w:rsid w:val="00A27643"/>
    <w:rsid w:val="00A93CA4"/>
    <w:rsid w:val="00C22C65"/>
    <w:rsid w:val="00CF1A65"/>
    <w:rsid w:val="00D714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284D"/>
  <w15:chartTrackingRefBased/>
  <w15:docId w15:val="{83B3E554-3567-409C-B922-9BD1122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530"/>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37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E82"/>
    <w:rPr>
      <w:rFonts w:eastAsiaTheme="majorEastAsia" w:cstheme="majorBidi"/>
      <w:color w:val="272727" w:themeColor="text1" w:themeTint="D8"/>
    </w:rPr>
  </w:style>
  <w:style w:type="paragraph" w:styleId="Title">
    <w:name w:val="Title"/>
    <w:basedOn w:val="Normal"/>
    <w:next w:val="Normal"/>
    <w:link w:val="TitleChar"/>
    <w:uiPriority w:val="10"/>
    <w:qFormat/>
    <w:rsid w:val="0037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82"/>
    <w:pPr>
      <w:spacing w:before="160"/>
      <w:jc w:val="center"/>
    </w:pPr>
    <w:rPr>
      <w:i/>
      <w:iCs/>
      <w:color w:val="404040" w:themeColor="text1" w:themeTint="BF"/>
    </w:rPr>
  </w:style>
  <w:style w:type="character" w:customStyle="1" w:styleId="QuoteChar">
    <w:name w:val="Quote Char"/>
    <w:basedOn w:val="DefaultParagraphFont"/>
    <w:link w:val="Quote"/>
    <w:uiPriority w:val="29"/>
    <w:rsid w:val="00370E82"/>
    <w:rPr>
      <w:i/>
      <w:iCs/>
      <w:color w:val="404040" w:themeColor="text1" w:themeTint="BF"/>
    </w:rPr>
  </w:style>
  <w:style w:type="paragraph" w:styleId="ListParagraph">
    <w:name w:val="List Paragraph"/>
    <w:basedOn w:val="Normal"/>
    <w:uiPriority w:val="34"/>
    <w:qFormat/>
    <w:rsid w:val="00370E82"/>
    <w:pPr>
      <w:ind w:left="720"/>
      <w:contextualSpacing/>
    </w:pPr>
  </w:style>
  <w:style w:type="character" w:styleId="IntenseEmphasis">
    <w:name w:val="Intense Emphasis"/>
    <w:basedOn w:val="DefaultParagraphFont"/>
    <w:uiPriority w:val="21"/>
    <w:qFormat/>
    <w:rsid w:val="00370E82"/>
    <w:rPr>
      <w:i/>
      <w:iCs/>
      <w:color w:val="0F4761" w:themeColor="accent1" w:themeShade="BF"/>
    </w:rPr>
  </w:style>
  <w:style w:type="paragraph" w:styleId="IntenseQuote">
    <w:name w:val="Intense Quote"/>
    <w:basedOn w:val="Normal"/>
    <w:next w:val="Normal"/>
    <w:link w:val="IntenseQuoteChar"/>
    <w:uiPriority w:val="30"/>
    <w:qFormat/>
    <w:rsid w:val="0037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E82"/>
    <w:rPr>
      <w:i/>
      <w:iCs/>
      <w:color w:val="0F4761" w:themeColor="accent1" w:themeShade="BF"/>
    </w:rPr>
  </w:style>
  <w:style w:type="character" w:styleId="IntenseReference">
    <w:name w:val="Intense Reference"/>
    <w:basedOn w:val="DefaultParagraphFont"/>
    <w:uiPriority w:val="32"/>
    <w:qFormat/>
    <w:rsid w:val="00370E82"/>
    <w:rPr>
      <w:b/>
      <w:bCs/>
      <w:smallCaps/>
      <w:color w:val="0F4761" w:themeColor="accent1" w:themeShade="BF"/>
      <w:spacing w:val="5"/>
    </w:rPr>
  </w:style>
  <w:style w:type="character" w:styleId="Hyperlink">
    <w:name w:val="Hyperlink"/>
    <w:basedOn w:val="DefaultParagraphFont"/>
    <w:uiPriority w:val="99"/>
    <w:semiHidden/>
    <w:unhideWhenUsed/>
    <w:rsid w:val="00664530"/>
    <w:rPr>
      <w:color w:val="467886" w:themeColor="hyperlink"/>
      <w:u w:val="single"/>
    </w:rPr>
  </w:style>
  <w:style w:type="paragraph" w:styleId="FootnoteText">
    <w:name w:val="footnote text"/>
    <w:basedOn w:val="Normal"/>
    <w:link w:val="FootnoteTextChar"/>
    <w:uiPriority w:val="99"/>
    <w:semiHidden/>
    <w:unhideWhenUsed/>
    <w:rsid w:val="00664530"/>
    <w:rPr>
      <w:sz w:val="20"/>
      <w:szCs w:val="20"/>
    </w:rPr>
  </w:style>
  <w:style w:type="character" w:customStyle="1" w:styleId="FootnoteTextChar">
    <w:name w:val="Footnote Text Char"/>
    <w:basedOn w:val="DefaultParagraphFont"/>
    <w:link w:val="FootnoteText"/>
    <w:uiPriority w:val="99"/>
    <w:semiHidden/>
    <w:rsid w:val="00664530"/>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664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onseil.-concurrence.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1863</Words>
  <Characters>10249</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9</cp:revision>
  <dcterms:created xsi:type="dcterms:W3CDTF">2024-11-09T10:03:00Z</dcterms:created>
  <dcterms:modified xsi:type="dcterms:W3CDTF">2025-11-08T19:36:00Z</dcterms:modified>
</cp:coreProperties>
</file>