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7CF7E" w14:textId="77777777" w:rsidR="00777492" w:rsidRDefault="00777492" w:rsidP="00777492">
      <w:pPr>
        <w:pStyle w:val="ListParagraph"/>
        <w:tabs>
          <w:tab w:val="right" w:pos="849"/>
        </w:tabs>
        <w:bidi/>
        <w:spacing w:after="120"/>
        <w:ind w:left="-2"/>
        <w:jc w:val="center"/>
        <w:rPr>
          <w:rFonts w:ascii="Simplified Arabic" w:hAnsi="Simplified Arabic" w:cs="Simplified Arabic"/>
          <w:b/>
          <w:bCs/>
          <w:sz w:val="28"/>
          <w:szCs w:val="32"/>
          <w:rtl/>
          <w:lang w:bidi="ar-DZ"/>
        </w:rPr>
      </w:pPr>
      <w:r>
        <w:rPr>
          <w:rFonts w:ascii="Simplified Arabic" w:hAnsi="Simplified Arabic" w:cs="Simplified Arabic" w:hint="cs"/>
          <w:b/>
          <w:bCs/>
          <w:sz w:val="28"/>
          <w:szCs w:val="32"/>
          <w:rtl/>
          <w:lang w:bidi="ar-DZ"/>
        </w:rPr>
        <w:t xml:space="preserve">محاضرات في قانون المنافسة </w:t>
      </w:r>
    </w:p>
    <w:p w14:paraId="79805A1B" w14:textId="3309E13C" w:rsidR="00777492" w:rsidRDefault="00777492" w:rsidP="00777492">
      <w:pPr>
        <w:pStyle w:val="ListParagraph"/>
        <w:tabs>
          <w:tab w:val="right" w:pos="849"/>
        </w:tabs>
        <w:bidi/>
        <w:spacing w:after="120"/>
        <w:ind w:left="-2"/>
        <w:jc w:val="center"/>
        <w:rPr>
          <w:rFonts w:ascii="Simplified Arabic" w:hAnsi="Simplified Arabic" w:cs="Simplified Arabic"/>
          <w:b/>
          <w:bCs/>
          <w:sz w:val="28"/>
          <w:szCs w:val="32"/>
          <w:rtl/>
          <w:lang w:bidi="ar-DZ"/>
        </w:rPr>
      </w:pPr>
      <w:r>
        <w:rPr>
          <w:rFonts w:ascii="Simplified Arabic" w:hAnsi="Simplified Arabic" w:cs="Simplified Arabic" w:hint="cs"/>
          <w:b/>
          <w:bCs/>
          <w:sz w:val="28"/>
          <w:szCs w:val="32"/>
          <w:rtl/>
          <w:lang w:bidi="ar-DZ"/>
        </w:rPr>
        <w:t xml:space="preserve">الممارسات المقيدة للمنافسة </w:t>
      </w:r>
    </w:p>
    <w:p w14:paraId="6BBD11C9" w14:textId="0FC61353" w:rsidR="00777492" w:rsidRDefault="00777492" w:rsidP="00777492">
      <w:pPr>
        <w:pStyle w:val="ListParagraph"/>
        <w:tabs>
          <w:tab w:val="right" w:pos="849"/>
        </w:tabs>
        <w:bidi/>
        <w:spacing w:after="120"/>
        <w:ind w:left="-2"/>
        <w:jc w:val="center"/>
        <w:rPr>
          <w:rFonts w:ascii="Simplified Arabic" w:hAnsi="Simplified Arabic" w:cs="Simplified Arabic"/>
          <w:b/>
          <w:bCs/>
          <w:sz w:val="28"/>
          <w:szCs w:val="32"/>
          <w:lang w:bidi="ar-DZ"/>
        </w:rPr>
      </w:pPr>
      <w:r>
        <w:rPr>
          <w:rFonts w:ascii="Simplified Arabic" w:hAnsi="Simplified Arabic" w:cs="Simplified Arabic" w:hint="cs"/>
          <w:b/>
          <w:bCs/>
          <w:sz w:val="28"/>
          <w:szCs w:val="32"/>
          <w:rtl/>
          <w:lang w:bidi="ar-DZ"/>
        </w:rPr>
        <w:t xml:space="preserve">المحاضرة الخامسة </w:t>
      </w:r>
      <w:r>
        <w:rPr>
          <w:rFonts w:ascii="Simplified Arabic" w:hAnsi="Simplified Arabic" w:cs="Simplified Arabic"/>
          <w:b/>
          <w:bCs/>
          <w:sz w:val="28"/>
          <w:szCs w:val="32"/>
          <w:rtl/>
          <w:lang w:bidi="ar-DZ"/>
        </w:rPr>
        <w:t>- الاتفاقات المقيدة للمنافسة ''</w:t>
      </w:r>
      <w:proofErr w:type="spellStart"/>
      <w:r>
        <w:rPr>
          <w:rFonts w:ascii="Simplified Arabic" w:hAnsi="Simplified Arabic" w:cs="Simplified Arabic"/>
          <w:b/>
          <w:bCs/>
          <w:sz w:val="28"/>
          <w:szCs w:val="32"/>
          <w:rtl/>
          <w:lang w:bidi="ar-DZ"/>
        </w:rPr>
        <w:t>التواطؤات</w:t>
      </w:r>
      <w:proofErr w:type="spellEnd"/>
      <w:r>
        <w:rPr>
          <w:rFonts w:ascii="Simplified Arabic" w:hAnsi="Simplified Arabic" w:cs="Simplified Arabic"/>
          <w:b/>
          <w:bCs/>
          <w:sz w:val="28"/>
          <w:szCs w:val="32"/>
          <w:rtl/>
          <w:lang w:bidi="ar-DZ"/>
        </w:rPr>
        <w:t xml:space="preserve"> </w:t>
      </w:r>
      <w:r>
        <w:rPr>
          <w:rFonts w:ascii="Simplified Arabic" w:hAnsi="Simplified Arabic" w:cs="Simplified Arabic"/>
          <w:b/>
          <w:bCs/>
          <w:sz w:val="28"/>
          <w:szCs w:val="32"/>
          <w:lang w:bidi="ar-DZ"/>
        </w:rPr>
        <w:t>Les ententes</w:t>
      </w:r>
      <w:r>
        <w:rPr>
          <w:rFonts w:ascii="Simplified Arabic" w:hAnsi="Simplified Arabic" w:cs="Simplified Arabic"/>
          <w:b/>
          <w:bCs/>
          <w:sz w:val="28"/>
          <w:szCs w:val="32"/>
          <w:rtl/>
          <w:lang w:bidi="ar-DZ"/>
        </w:rPr>
        <w:t>''</w:t>
      </w:r>
    </w:p>
    <w:p w14:paraId="4F603897" w14:textId="77777777" w:rsidR="00777492" w:rsidRDefault="00777492" w:rsidP="00777492">
      <w:pPr>
        <w:pStyle w:val="ListParagraph"/>
        <w:tabs>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نظمت المادة 06 من قانون المنافسة </w:t>
      </w:r>
      <w:proofErr w:type="spellStart"/>
      <w:r>
        <w:rPr>
          <w:rFonts w:ascii="Simplified Arabic" w:hAnsi="Simplified Arabic" w:cs="Simplified Arabic"/>
          <w:sz w:val="28"/>
          <w:szCs w:val="32"/>
          <w:rtl/>
          <w:lang w:bidi="ar-DZ"/>
        </w:rPr>
        <w:t>التواطؤات</w:t>
      </w:r>
      <w:proofErr w:type="spellEnd"/>
      <w:r>
        <w:rPr>
          <w:rFonts w:ascii="Simplified Arabic" w:hAnsi="Simplified Arabic" w:cs="Simplified Arabic"/>
          <w:sz w:val="28"/>
          <w:szCs w:val="32"/>
          <w:rtl/>
          <w:lang w:bidi="ar-DZ"/>
        </w:rPr>
        <w:t xml:space="preserve"> بحضر كل الممارسات والأعمال المدبرة والاتفاقات الصريحة أو الضمنية عندما تهدف أو يمكن أن تهدف إلى عرقلة حرية المنافسة أو الحد منها أو الإخلال بها في نفس السوق أو في جزء جوهري منه. وذكرت عدة حالات إذا وجدت في عقود ما اعتبرت </w:t>
      </w:r>
      <w:proofErr w:type="spellStart"/>
      <w:r>
        <w:rPr>
          <w:rFonts w:ascii="Simplified Arabic" w:hAnsi="Simplified Arabic" w:cs="Simplified Arabic"/>
          <w:sz w:val="28"/>
          <w:szCs w:val="32"/>
          <w:rtl/>
          <w:lang w:bidi="ar-DZ"/>
        </w:rPr>
        <w:t>تواطؤات</w:t>
      </w:r>
      <w:proofErr w:type="spellEnd"/>
      <w:r>
        <w:rPr>
          <w:rFonts w:ascii="Simplified Arabic" w:hAnsi="Simplified Arabic" w:cs="Simplified Arabic"/>
          <w:sz w:val="28"/>
          <w:szCs w:val="32"/>
          <w:rtl/>
          <w:lang w:bidi="ar-DZ"/>
        </w:rPr>
        <w:t>.</w:t>
      </w:r>
    </w:p>
    <w:p w14:paraId="3967DA57" w14:textId="77777777" w:rsidR="00777492" w:rsidRDefault="00777492" w:rsidP="00777492">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سوف نتناول: تعريف التواطؤ و كيفية تكوين التواطؤ و</w:t>
      </w:r>
      <w:r>
        <w:rPr>
          <w:rFonts w:ascii="Simplified Arabic" w:hAnsi="Simplified Arabic" w:cs="Simplified Arabic"/>
          <w:b/>
          <w:bCs/>
          <w:sz w:val="28"/>
          <w:szCs w:val="32"/>
          <w:rtl/>
          <w:lang w:bidi="ar-DZ"/>
        </w:rPr>
        <w:t xml:space="preserve"> </w:t>
      </w:r>
      <w:r>
        <w:rPr>
          <w:rFonts w:ascii="Simplified Arabic" w:hAnsi="Simplified Arabic" w:cs="Simplified Arabic"/>
          <w:sz w:val="28"/>
          <w:szCs w:val="32"/>
          <w:rtl/>
          <w:lang w:bidi="ar-DZ"/>
        </w:rPr>
        <w:t>أشكال تقييد المنافسة الناتجة عن التواطؤ ثم حالات الترخيص للتواطؤ و أخيرا الجزاءات المترتبة على التواطؤ.</w:t>
      </w:r>
    </w:p>
    <w:p w14:paraId="602FFB25" w14:textId="77777777" w:rsidR="00777492" w:rsidRDefault="00777492" w:rsidP="00777492">
      <w:pPr>
        <w:tabs>
          <w:tab w:val="right" w:pos="849"/>
        </w:tabs>
        <w:bidi/>
        <w:spacing w:after="120"/>
        <w:ind w:left="-2"/>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أ-</w:t>
      </w:r>
      <w:r>
        <w:rPr>
          <w:rFonts w:ascii="Simplified Arabic" w:hAnsi="Simplified Arabic" w:cs="Simplified Arabic"/>
          <w:b/>
          <w:bCs/>
          <w:sz w:val="28"/>
          <w:szCs w:val="32"/>
          <w:rtl/>
          <w:lang w:bidi="ar-DZ"/>
        </w:rPr>
        <w:t xml:space="preserve">تعريف التواطؤ: </w:t>
      </w:r>
    </w:p>
    <w:p w14:paraId="2BC2957B" w14:textId="77777777" w:rsidR="00777492" w:rsidRDefault="00777492" w:rsidP="00777492">
      <w:pPr>
        <w:pStyle w:val="ListParagraph"/>
        <w:tabs>
          <w:tab w:val="right" w:pos="849"/>
        </w:tabs>
        <w:bidi/>
        <w:spacing w:after="120"/>
        <w:ind w:left="0" w:firstLine="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التواطؤ هو اتفاق أو توافق يكون مضرا بالمنافسة الحرة في السوق المعني وبالتالي ينتج عن التقاء إرادة متدخلين اثنين على الأقل. والمشرع لم يشترط شكل معين للاتفاق فقد يكون إنفاق صريح أو ضمني وقد ينتج عن ممارسات موحدة </w:t>
      </w:r>
      <w:proofErr w:type="spellStart"/>
      <w:r>
        <w:rPr>
          <w:rFonts w:ascii="Simplified Arabic" w:hAnsi="Simplified Arabic" w:cs="Simplified Arabic"/>
          <w:sz w:val="28"/>
          <w:szCs w:val="32"/>
          <w:rtl/>
          <w:lang w:bidi="ar-DZ"/>
        </w:rPr>
        <w:t>أوأعمال</w:t>
      </w:r>
      <w:proofErr w:type="spellEnd"/>
      <w:r>
        <w:rPr>
          <w:rFonts w:ascii="Simplified Arabic" w:hAnsi="Simplified Arabic" w:cs="Simplified Arabic"/>
          <w:sz w:val="28"/>
          <w:szCs w:val="32"/>
          <w:rtl/>
          <w:lang w:bidi="ar-DZ"/>
        </w:rPr>
        <w:t xml:space="preserve"> مدبرة.</w:t>
      </w:r>
    </w:p>
    <w:p w14:paraId="62ED5DC2" w14:textId="77777777" w:rsidR="00777492" w:rsidRDefault="00777492" w:rsidP="00777492">
      <w:pPr>
        <w:pStyle w:val="ListParagraph"/>
        <w:tabs>
          <w:tab w:val="right" w:pos="849"/>
        </w:tabs>
        <w:bidi/>
        <w:spacing w:after="120"/>
        <w:ind w:left="0"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لهذا اخترنا استعمال مصطلح التواطؤ عوض مصطلح "الاتفاقات المقيدة للمنافسة " الذي غالبا ما يستعمله الدارسون لهذا الموضوع لأن المشرع في المادة 06 واعتبر أنه ينشأ عن الاتفاقات لكن أضاف إليها أشكال أخرى للممارسات والأعمال المدبرة التي لا تعتبر اتفاقات بالمفهوم القانوني للكلمة. ففي الاصطلاح اللغوي التواطؤ هو : </w:t>
      </w:r>
      <w:proofErr w:type="spellStart"/>
      <w:r>
        <w:rPr>
          <w:rFonts w:ascii="Simplified Arabic" w:hAnsi="Simplified Arabic" w:cs="Simplified Arabic"/>
          <w:sz w:val="28"/>
          <w:szCs w:val="32"/>
          <w:rtl/>
          <w:lang w:bidi="ar-DZ"/>
        </w:rPr>
        <w:t>التأمر</w:t>
      </w:r>
      <w:proofErr w:type="spellEnd"/>
      <w:r>
        <w:rPr>
          <w:rFonts w:ascii="Simplified Arabic" w:hAnsi="Simplified Arabic" w:cs="Simplified Arabic"/>
          <w:sz w:val="28"/>
          <w:szCs w:val="32"/>
          <w:rtl/>
          <w:lang w:bidi="ar-DZ"/>
        </w:rPr>
        <w:t xml:space="preserve"> ، التوافق ـ الاشتراك في الاثم أو الذنب.</w:t>
      </w:r>
      <w:r>
        <w:rPr>
          <w:rStyle w:val="FootnoteReference"/>
          <w:rFonts w:ascii="Simplified Arabic" w:hAnsi="Simplified Arabic" w:cs="Simplified Arabic"/>
          <w:sz w:val="28"/>
          <w:szCs w:val="32"/>
          <w:rtl/>
          <w:lang w:bidi="ar-DZ"/>
        </w:rPr>
        <w:footnoteReference w:id="1"/>
      </w:r>
      <w:r>
        <w:rPr>
          <w:rFonts w:ascii="Simplified Arabic" w:hAnsi="Simplified Arabic" w:cs="Simplified Arabic"/>
          <w:sz w:val="28"/>
          <w:szCs w:val="32"/>
          <w:rtl/>
          <w:lang w:bidi="ar-DZ"/>
        </w:rPr>
        <w:t xml:space="preserve"> و هذا المصطلح يعبر على حقيقة هذه الممارسة .</w:t>
      </w:r>
    </w:p>
    <w:p w14:paraId="4732BFA8" w14:textId="77777777" w:rsidR="00777492" w:rsidRDefault="00777492" w:rsidP="00777492">
      <w:pPr>
        <w:pStyle w:val="ListParagraph"/>
        <w:tabs>
          <w:tab w:val="right" w:pos="849"/>
        </w:tabs>
        <w:bidi/>
        <w:spacing w:after="120"/>
        <w:ind w:left="0"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لقد ترجمة الاستاذة لينا حسن ذكي مصطلح ''</w:t>
      </w:r>
      <w:r>
        <w:rPr>
          <w:rFonts w:ascii="Simplified Arabic" w:hAnsi="Simplified Arabic" w:cs="Simplified Arabic"/>
          <w:sz w:val="28"/>
          <w:szCs w:val="32"/>
          <w:lang w:bidi="ar-DZ"/>
        </w:rPr>
        <w:t>entente économique</w:t>
      </w:r>
      <w:r>
        <w:rPr>
          <w:rFonts w:ascii="Simplified Arabic" w:hAnsi="Simplified Arabic" w:cs="Simplified Arabic"/>
          <w:sz w:val="28"/>
          <w:szCs w:val="32"/>
          <w:rtl/>
          <w:lang w:bidi="ar-DZ"/>
        </w:rPr>
        <w:t>''</w:t>
      </w:r>
      <w:r>
        <w:rPr>
          <w:rFonts w:ascii="Simplified Arabic" w:hAnsi="Simplified Arabic" w:cs="Simplified Arabic"/>
          <w:sz w:val="28"/>
          <w:szCs w:val="32"/>
          <w:lang w:bidi="ar-DZ"/>
        </w:rPr>
        <w:t xml:space="preserve"> </w:t>
      </w:r>
      <w:r>
        <w:rPr>
          <w:rFonts w:ascii="Simplified Arabic" w:hAnsi="Simplified Arabic" w:cs="Simplified Arabic"/>
          <w:sz w:val="28"/>
          <w:szCs w:val="32"/>
          <w:rtl/>
          <w:lang w:bidi="ar-DZ"/>
        </w:rPr>
        <w:t xml:space="preserve"> </w:t>
      </w:r>
      <w:proofErr w:type="spellStart"/>
      <w:r>
        <w:rPr>
          <w:rFonts w:ascii="Simplified Arabic" w:hAnsi="Simplified Arabic" w:cs="Simplified Arabic"/>
          <w:sz w:val="28"/>
          <w:szCs w:val="32"/>
          <w:rtl/>
          <w:lang w:bidi="ar-DZ"/>
        </w:rPr>
        <w:t>بأنها''اتفاقات</w:t>
      </w:r>
      <w:proofErr w:type="spellEnd"/>
      <w:r>
        <w:rPr>
          <w:rFonts w:ascii="Simplified Arabic" w:hAnsi="Simplified Arabic" w:cs="Simplified Arabic"/>
          <w:sz w:val="28"/>
          <w:szCs w:val="32"/>
          <w:rtl/>
          <w:lang w:bidi="ar-DZ"/>
        </w:rPr>
        <w:t xml:space="preserve"> اقتصادية '' .</w:t>
      </w:r>
      <w:r>
        <w:rPr>
          <w:rStyle w:val="FootnoteReference"/>
          <w:rFonts w:ascii="Simplified Arabic" w:hAnsi="Simplified Arabic" w:cs="Simplified Arabic"/>
          <w:sz w:val="28"/>
          <w:szCs w:val="32"/>
          <w:rtl/>
          <w:lang w:bidi="ar-DZ"/>
        </w:rPr>
        <w:footnoteReference w:id="2"/>
      </w:r>
      <w:r>
        <w:rPr>
          <w:rFonts w:ascii="Simplified Arabic" w:hAnsi="Simplified Arabic" w:cs="Simplified Arabic"/>
          <w:sz w:val="28"/>
          <w:szCs w:val="32"/>
          <w:rtl/>
          <w:lang w:bidi="ar-DZ"/>
        </w:rPr>
        <w:t xml:space="preserve"> هذه الترجمة غير دقيقة لكون هذا المصطلح يشمل مختلف </w:t>
      </w:r>
      <w:r>
        <w:rPr>
          <w:rFonts w:ascii="Simplified Arabic" w:hAnsi="Simplified Arabic" w:cs="Simplified Arabic"/>
          <w:sz w:val="28"/>
          <w:szCs w:val="32"/>
          <w:rtl/>
          <w:lang w:bidi="ar-DZ"/>
        </w:rPr>
        <w:lastRenderedPageBreak/>
        <w:t xml:space="preserve">العقود ذات الطابع الاقتصادي و لا تظهر الطابع الخاص لهذه الاتفاقات المتمثل هي سعي أطرافها إلى تقيد </w:t>
      </w:r>
      <w:proofErr w:type="spellStart"/>
      <w:r>
        <w:rPr>
          <w:rFonts w:ascii="Simplified Arabic" w:hAnsi="Simplified Arabic" w:cs="Simplified Arabic"/>
          <w:sz w:val="28"/>
          <w:szCs w:val="32"/>
          <w:rtl/>
          <w:lang w:bidi="ar-DZ"/>
        </w:rPr>
        <w:t>المنافسة.فمصطلح</w:t>
      </w:r>
      <w:proofErr w:type="spellEnd"/>
      <w:r>
        <w:rPr>
          <w:rFonts w:ascii="Simplified Arabic" w:hAnsi="Simplified Arabic" w:cs="Simplified Arabic"/>
          <w:sz w:val="28"/>
          <w:szCs w:val="32"/>
          <w:rtl/>
          <w:lang w:bidi="ar-DZ"/>
        </w:rPr>
        <w:t xml:space="preserve"> </w:t>
      </w:r>
      <w:r>
        <w:rPr>
          <w:rFonts w:ascii="Simplified Arabic" w:hAnsi="Simplified Arabic" w:cs="Simplified Arabic"/>
          <w:sz w:val="28"/>
          <w:szCs w:val="32"/>
          <w:lang w:bidi="ar-DZ"/>
        </w:rPr>
        <w:t>ententes</w:t>
      </w:r>
      <w:r>
        <w:rPr>
          <w:rFonts w:ascii="Simplified Arabic" w:hAnsi="Simplified Arabic" w:cs="Simplified Arabic"/>
          <w:sz w:val="28"/>
          <w:szCs w:val="32"/>
          <w:rtl/>
          <w:lang w:bidi="ar-DZ"/>
        </w:rPr>
        <w:t xml:space="preserve"> يمكن أن يترجم بالتفاهمات أو </w:t>
      </w:r>
      <w:proofErr w:type="spellStart"/>
      <w:r>
        <w:rPr>
          <w:rFonts w:ascii="Simplified Arabic" w:hAnsi="Simplified Arabic" w:cs="Simplified Arabic"/>
          <w:sz w:val="28"/>
          <w:szCs w:val="32"/>
          <w:rtl/>
          <w:lang w:bidi="ar-DZ"/>
        </w:rPr>
        <w:t>التواطؤات</w:t>
      </w:r>
      <w:proofErr w:type="spellEnd"/>
      <w:r>
        <w:rPr>
          <w:rFonts w:ascii="Simplified Arabic" w:hAnsi="Simplified Arabic" w:cs="Simplified Arabic"/>
          <w:sz w:val="28"/>
          <w:szCs w:val="32"/>
          <w:rtl/>
          <w:lang w:bidi="ar-DZ"/>
        </w:rPr>
        <w:t xml:space="preserve">. </w:t>
      </w:r>
    </w:p>
    <w:p w14:paraId="00EF6441" w14:textId="77777777" w:rsidR="00777492" w:rsidRDefault="00777492" w:rsidP="00777492">
      <w:pPr>
        <w:pStyle w:val="ListParagraph"/>
        <w:tabs>
          <w:tab w:val="right" w:pos="849"/>
        </w:tabs>
        <w:bidi/>
        <w:spacing w:after="120"/>
        <w:ind w:left="0"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عليه نعتقد أن مصطلح التواطؤ هو الاكثر تعبيرا على حقيقة على هذه الممارسة .</w:t>
      </w:r>
    </w:p>
    <w:p w14:paraId="7AE5CB61" w14:textId="77777777" w:rsidR="00777492" w:rsidRDefault="00777492" w:rsidP="00777492">
      <w:pPr>
        <w:pStyle w:val="ListParagraph"/>
        <w:tabs>
          <w:tab w:val="right" w:pos="849"/>
        </w:tabs>
        <w:bidi/>
        <w:spacing w:after="120"/>
        <w:ind w:left="0"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 لقد </w:t>
      </w:r>
      <w:proofErr w:type="spellStart"/>
      <w:r>
        <w:rPr>
          <w:rFonts w:ascii="Simplified Arabic" w:hAnsi="Simplified Arabic" w:cs="Simplified Arabic"/>
          <w:sz w:val="28"/>
          <w:szCs w:val="32"/>
          <w:rtl/>
          <w:lang w:bidi="ar-DZ"/>
        </w:rPr>
        <w:t>إعتمد</w:t>
      </w:r>
      <w:proofErr w:type="spellEnd"/>
      <w:r>
        <w:rPr>
          <w:rFonts w:ascii="Simplified Arabic" w:hAnsi="Simplified Arabic" w:cs="Simplified Arabic"/>
          <w:sz w:val="28"/>
          <w:szCs w:val="32"/>
          <w:rtl/>
          <w:lang w:bidi="ar-DZ"/>
        </w:rPr>
        <w:t xml:space="preserve"> مجلس المنافسة مصطلح التواطؤ في ؟؟؟؟</w:t>
      </w:r>
    </w:p>
    <w:p w14:paraId="5CB84A2A" w14:textId="77777777" w:rsidR="00777492" w:rsidRDefault="00777492" w:rsidP="00777492">
      <w:pPr>
        <w:pStyle w:val="ListParagraph"/>
        <w:tabs>
          <w:tab w:val="right" w:pos="849"/>
        </w:tabs>
        <w:bidi/>
        <w:spacing w:after="120"/>
        <w:ind w:left="0"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وباستقراء نص المادة 6 من قانون المنافسة و التي عرفت التواطؤ نستخلص أنه يشترط توافر الشروط التالية لاعتبار الممارسة تواطؤ:</w:t>
      </w:r>
    </w:p>
    <w:p w14:paraId="2502114A" w14:textId="77777777" w:rsidR="00777492" w:rsidRDefault="00777492" w:rsidP="00777492">
      <w:pPr>
        <w:tabs>
          <w:tab w:val="right" w:pos="849"/>
        </w:tabs>
        <w:bidi/>
        <w:spacing w:after="120"/>
        <w:ind w:left="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ا-أطراف التواطؤ مؤسسات بالمفهوم الخاص الوارد في قانون المنافسة.</w:t>
      </w:r>
    </w:p>
    <w:p w14:paraId="5B5E0A2A" w14:textId="77777777" w:rsidR="00777492" w:rsidRDefault="00777492" w:rsidP="00777492">
      <w:pPr>
        <w:tabs>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ب-أن تسعى المؤسسات الأطراف فيه إلى عرقلة حرية المنافسة أو الحد منها أو الإخلال بها في نفس السوق أو في جزء جوهري منه.</w:t>
      </w:r>
    </w:p>
    <w:p w14:paraId="41B8D5A2" w14:textId="77777777" w:rsidR="00777492" w:rsidRDefault="00777492" w:rsidP="00777492">
      <w:pPr>
        <w:pStyle w:val="ListParagraph"/>
        <w:tabs>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وعليه فوجود التواطؤ لا يستند إلى اتخاذ شكل قانوني معين لكن يتم استخلاص وجوده من الهدف الذي ترمي </w:t>
      </w:r>
      <w:proofErr w:type="spellStart"/>
      <w:r>
        <w:rPr>
          <w:rFonts w:ascii="Simplified Arabic" w:hAnsi="Simplified Arabic" w:cs="Simplified Arabic"/>
          <w:sz w:val="28"/>
          <w:szCs w:val="32"/>
          <w:rtl/>
          <w:lang w:bidi="ar-DZ"/>
        </w:rPr>
        <w:t>إلأى</w:t>
      </w:r>
      <w:proofErr w:type="spellEnd"/>
      <w:r>
        <w:rPr>
          <w:rFonts w:ascii="Simplified Arabic" w:hAnsi="Simplified Arabic" w:cs="Simplified Arabic"/>
          <w:sz w:val="28"/>
          <w:szCs w:val="32"/>
          <w:rtl/>
          <w:lang w:bidi="ar-DZ"/>
        </w:rPr>
        <w:t xml:space="preserve"> تحقيقه. فبواسطته تسعى المؤسسات إلى تحقيق مصالح غير مشروعة عن طريق احتكار السوق و المساس بسيره العادي.</w:t>
      </w:r>
    </w:p>
    <w:p w14:paraId="6AE882AA" w14:textId="77777777" w:rsidR="00777492" w:rsidRDefault="00777492" w:rsidP="00777492">
      <w:pPr>
        <w:bidi/>
        <w:spacing w:after="0"/>
        <w:ind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عمليا تختلف هيكلة الاتفاقات المقيدة للمنافسة بالنظر  إلى طبيعة العلاقة بين أطرافها تقسم إلى:</w:t>
      </w:r>
      <w:r>
        <w:rPr>
          <w:rStyle w:val="FootnoteReference"/>
          <w:rFonts w:ascii="Simplified Arabic" w:hAnsi="Simplified Arabic" w:cs="Simplified Arabic"/>
          <w:sz w:val="28"/>
          <w:szCs w:val="32"/>
          <w:rtl/>
          <w:lang w:bidi="ar-DZ"/>
        </w:rPr>
        <w:footnoteReference w:id="3"/>
      </w:r>
    </w:p>
    <w:p w14:paraId="74E9934A" w14:textId="77777777" w:rsidR="00777492" w:rsidRDefault="00777492" w:rsidP="00777492">
      <w:pPr>
        <w:numPr>
          <w:ilvl w:val="0"/>
          <w:numId w:val="1"/>
        </w:numPr>
        <w:bidi/>
        <w:spacing w:after="0"/>
        <w:jc w:val="both"/>
        <w:rPr>
          <w:rFonts w:ascii="Simplified Arabic" w:hAnsi="Simplified Arabic" w:cs="Simplified Arabic"/>
          <w:b/>
          <w:bCs/>
          <w:sz w:val="28"/>
          <w:szCs w:val="32"/>
          <w:rtl/>
          <w:lang w:bidi="ar-DZ"/>
        </w:rPr>
      </w:pPr>
      <w:proofErr w:type="spellStart"/>
      <w:r>
        <w:rPr>
          <w:rFonts w:ascii="Simplified Arabic" w:hAnsi="Simplified Arabic" w:cs="Simplified Arabic"/>
          <w:b/>
          <w:bCs/>
          <w:sz w:val="28"/>
          <w:szCs w:val="32"/>
          <w:rtl/>
          <w:lang w:bidi="ar-DZ"/>
        </w:rPr>
        <w:t>تواطؤات</w:t>
      </w:r>
      <w:proofErr w:type="spellEnd"/>
      <w:r>
        <w:rPr>
          <w:rFonts w:ascii="Simplified Arabic" w:hAnsi="Simplified Arabic" w:cs="Simplified Arabic"/>
          <w:b/>
          <w:bCs/>
          <w:sz w:val="28"/>
          <w:szCs w:val="32"/>
          <w:rtl/>
          <w:lang w:bidi="ar-DZ"/>
        </w:rPr>
        <w:t xml:space="preserve"> تهدف إلى تحقيق التحكم الأفقي:</w:t>
      </w:r>
    </w:p>
    <w:p w14:paraId="3FC46E80" w14:textId="77777777" w:rsidR="00777492" w:rsidRDefault="00777492" w:rsidP="00777492">
      <w:pPr>
        <w:bidi/>
        <w:spacing w:after="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الاتفاقات والتحالفات التي تتآمر من خلالها وحدات اقتصادية تنتج سلعا متشابهة أو متجانسة في نفس السوق للحد من الإنتاج أو لتحديد الأسعار عند مستويات تعكس إرادة المتعاقدين وليس على أساس قانون العرض والطلب.</w:t>
      </w:r>
    </w:p>
    <w:p w14:paraId="6DCFFEA3" w14:textId="77777777" w:rsidR="00777492" w:rsidRDefault="00777492" w:rsidP="00777492">
      <w:pPr>
        <w:bidi/>
        <w:spacing w:after="0"/>
        <w:ind w:firstLine="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ومن أمثلتها </w:t>
      </w:r>
      <w:proofErr w:type="spellStart"/>
      <w:r>
        <w:rPr>
          <w:rFonts w:ascii="Simplified Arabic" w:hAnsi="Simplified Arabic" w:cs="Simplified Arabic"/>
          <w:sz w:val="28"/>
          <w:szCs w:val="32"/>
          <w:rtl/>
          <w:lang w:bidi="ar-DZ"/>
        </w:rPr>
        <w:t>كارتلات</w:t>
      </w:r>
      <w:proofErr w:type="spellEnd"/>
      <w:r>
        <w:rPr>
          <w:rFonts w:ascii="Simplified Arabic" w:hAnsi="Simplified Arabic" w:cs="Simplified Arabic"/>
          <w:sz w:val="28"/>
          <w:szCs w:val="32"/>
          <w:rtl/>
          <w:lang w:bidi="ar-DZ"/>
        </w:rPr>
        <w:t xml:space="preserve"> الاستيراد وهي اتفاقات تتم بين المستوردين والمستثمرين لتنظيم أنشطتهم داخل السوق المعني مثل: مقاطعة المنتجين الآخرين أو المحتملين ومنتجاتهم ، الرفض الجماعي للتعامل معهم أو فرض شروط تمييزية للتعامل ، تحديد الأسعار وكذلك </w:t>
      </w:r>
      <w:proofErr w:type="spellStart"/>
      <w:r>
        <w:rPr>
          <w:rFonts w:ascii="Simplified Arabic" w:hAnsi="Simplified Arabic" w:cs="Simplified Arabic"/>
          <w:sz w:val="28"/>
          <w:szCs w:val="32"/>
          <w:rtl/>
          <w:lang w:bidi="ar-DZ"/>
        </w:rPr>
        <w:lastRenderedPageBreak/>
        <w:t>الكارتلات</w:t>
      </w:r>
      <w:proofErr w:type="spellEnd"/>
      <w:r>
        <w:rPr>
          <w:rFonts w:ascii="Simplified Arabic" w:hAnsi="Simplified Arabic" w:cs="Simplified Arabic"/>
          <w:sz w:val="28"/>
          <w:szCs w:val="32"/>
          <w:rtl/>
          <w:lang w:bidi="ar-DZ"/>
        </w:rPr>
        <w:t xml:space="preserve"> الدولية وهي تتم بين شركات موجودة في دول مختلفة تهدف إلى تنظيم أو خفض الإنتاج وتقسيم الأسواق.</w:t>
      </w:r>
    </w:p>
    <w:p w14:paraId="5F68A0C2" w14:textId="77777777" w:rsidR="00777492" w:rsidRDefault="00777492" w:rsidP="00777492">
      <w:pPr>
        <w:numPr>
          <w:ilvl w:val="0"/>
          <w:numId w:val="1"/>
        </w:numPr>
        <w:bidi/>
        <w:spacing w:after="0"/>
        <w:jc w:val="both"/>
        <w:rPr>
          <w:rFonts w:ascii="Simplified Arabic" w:hAnsi="Simplified Arabic" w:cs="Simplified Arabic"/>
          <w:b/>
          <w:bCs/>
          <w:sz w:val="28"/>
          <w:szCs w:val="32"/>
          <w:rtl/>
          <w:lang w:bidi="ar-DZ"/>
        </w:rPr>
      </w:pPr>
      <w:proofErr w:type="spellStart"/>
      <w:r>
        <w:rPr>
          <w:rFonts w:ascii="Simplified Arabic" w:hAnsi="Simplified Arabic" w:cs="Simplified Arabic"/>
          <w:b/>
          <w:bCs/>
          <w:sz w:val="28"/>
          <w:szCs w:val="32"/>
          <w:rtl/>
          <w:lang w:bidi="ar-DZ"/>
        </w:rPr>
        <w:t>التواطؤات</w:t>
      </w:r>
      <w:proofErr w:type="spellEnd"/>
      <w:r>
        <w:rPr>
          <w:rFonts w:ascii="Simplified Arabic" w:hAnsi="Simplified Arabic" w:cs="Simplified Arabic"/>
          <w:b/>
          <w:bCs/>
          <w:sz w:val="28"/>
          <w:szCs w:val="32"/>
          <w:rtl/>
          <w:lang w:bidi="ar-DZ"/>
        </w:rPr>
        <w:t xml:space="preserve"> التي تهدف إلى تحقيق التحكم الرأسي:</w:t>
      </w:r>
    </w:p>
    <w:p w14:paraId="4BEC21E5" w14:textId="77777777" w:rsidR="00777492" w:rsidRDefault="00777492" w:rsidP="00777492">
      <w:pPr>
        <w:bidi/>
        <w:spacing w:after="0"/>
        <w:ind w:firstLine="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هي اتفاقات تتم بين متدخلين يوجدون في مواقع مختلفة من سلسلة الإنتاج والتوزيع.</w:t>
      </w:r>
    </w:p>
    <w:p w14:paraId="3CDD2BDA" w14:textId="77777777" w:rsidR="00777492" w:rsidRDefault="00777492" w:rsidP="00777492">
      <w:pPr>
        <w:bidi/>
        <w:spacing w:after="0"/>
        <w:ind w:firstLine="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هذه الاتفاقات لها آثار على التجارة لأنها تمنع الشركات من النفاذ إلى شبكات التوزيع ويتم ذلك عن طريق اتخاذ قرارات معينة مثل : الحصر الإقليمي الذي يتم باتفاق يمنع الموزعين من البيع خارج المناطق المحددة مسبقا و تقييد المبيعات أي أن تربط عملية شراء منتوج  ما بشراء  منتوج  آخر يحمل نفس العلامة.</w:t>
      </w:r>
    </w:p>
    <w:p w14:paraId="0BE825FC" w14:textId="77777777" w:rsidR="00777492" w:rsidRDefault="00777492" w:rsidP="00777492">
      <w:pPr>
        <w:tabs>
          <w:tab w:val="right" w:pos="849"/>
          <w:tab w:val="right" w:pos="990"/>
        </w:tabs>
        <w:bidi/>
        <w:spacing w:after="120"/>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ب- كيفية تكوين التواطؤ.</w:t>
      </w:r>
    </w:p>
    <w:p w14:paraId="6405FB94" w14:textId="77777777" w:rsidR="00777492" w:rsidRDefault="00777492" w:rsidP="00777492">
      <w:pPr>
        <w:pStyle w:val="ListParagraph"/>
        <w:tabs>
          <w:tab w:val="right" w:pos="849"/>
          <w:tab w:val="right" w:pos="990"/>
        </w:tabs>
        <w:bidi/>
        <w:spacing w:after="120"/>
        <w:ind w:left="0" w:hanging="283"/>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          يوجد اختيارين أساسيين قد يلجأ إليهما الراغبون في إنشاء التواطؤ وهما :</w:t>
      </w:r>
    </w:p>
    <w:p w14:paraId="54913E19" w14:textId="77777777" w:rsidR="00777492" w:rsidRDefault="00777492" w:rsidP="00777492">
      <w:pPr>
        <w:pStyle w:val="ListParagraph"/>
        <w:tabs>
          <w:tab w:val="right" w:pos="849"/>
          <w:tab w:val="right" w:pos="990"/>
        </w:tabs>
        <w:bidi/>
        <w:spacing w:after="120"/>
        <w:ind w:left="0" w:hanging="283"/>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w:t>
      </w:r>
      <w:proofErr w:type="spellStart"/>
      <w:r>
        <w:rPr>
          <w:rFonts w:ascii="Simplified Arabic" w:hAnsi="Simplified Arabic" w:cs="Simplified Arabic"/>
          <w:sz w:val="28"/>
          <w:szCs w:val="32"/>
          <w:rtl/>
          <w:lang w:bidi="ar-DZ"/>
        </w:rPr>
        <w:t>تواطؤات</w:t>
      </w:r>
      <w:proofErr w:type="spellEnd"/>
      <w:r>
        <w:rPr>
          <w:rFonts w:ascii="Simplified Arabic" w:hAnsi="Simplified Arabic" w:cs="Simplified Arabic"/>
          <w:sz w:val="28"/>
          <w:szCs w:val="32"/>
          <w:rtl/>
          <w:lang w:bidi="ar-DZ"/>
        </w:rPr>
        <w:t xml:space="preserve"> تتخذ شكلا قانونيا معينا .</w:t>
      </w:r>
    </w:p>
    <w:p w14:paraId="63081D0C" w14:textId="77777777" w:rsidR="00777492" w:rsidRDefault="00777492" w:rsidP="00777492">
      <w:pPr>
        <w:pStyle w:val="ListParagraph"/>
        <w:tabs>
          <w:tab w:val="right" w:pos="849"/>
          <w:tab w:val="right" w:pos="990"/>
        </w:tabs>
        <w:bidi/>
        <w:spacing w:after="120"/>
        <w:ind w:left="0" w:hanging="283"/>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w:t>
      </w:r>
      <w:proofErr w:type="spellStart"/>
      <w:r>
        <w:rPr>
          <w:rFonts w:ascii="Simplified Arabic" w:hAnsi="Simplified Arabic" w:cs="Simplified Arabic"/>
          <w:sz w:val="28"/>
          <w:szCs w:val="32"/>
          <w:rtl/>
          <w:lang w:bidi="ar-DZ"/>
        </w:rPr>
        <w:t>التواطؤات</w:t>
      </w:r>
      <w:proofErr w:type="spellEnd"/>
      <w:r>
        <w:rPr>
          <w:rFonts w:ascii="Simplified Arabic" w:hAnsi="Simplified Arabic" w:cs="Simplified Arabic"/>
          <w:sz w:val="28"/>
          <w:szCs w:val="32"/>
          <w:rtl/>
          <w:lang w:bidi="ar-DZ"/>
        </w:rPr>
        <w:t xml:space="preserve"> الناتجة عن اتخاذ سلوك موحد.</w:t>
      </w:r>
    </w:p>
    <w:p w14:paraId="494F38A4" w14:textId="77777777" w:rsidR="00777492" w:rsidRDefault="00777492" w:rsidP="00777492">
      <w:pPr>
        <w:pStyle w:val="ListParagraph"/>
        <w:tabs>
          <w:tab w:val="right" w:pos="849"/>
          <w:tab w:val="right" w:pos="990"/>
        </w:tabs>
        <w:bidi/>
        <w:spacing w:after="120"/>
        <w:ind w:left="0" w:hanging="283"/>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 xml:space="preserve">ب-1- </w:t>
      </w:r>
      <w:proofErr w:type="spellStart"/>
      <w:r>
        <w:rPr>
          <w:rFonts w:ascii="Simplified Arabic" w:hAnsi="Simplified Arabic" w:cs="Simplified Arabic"/>
          <w:b/>
          <w:bCs/>
          <w:sz w:val="28"/>
          <w:szCs w:val="32"/>
          <w:rtl/>
          <w:lang w:bidi="ar-DZ"/>
        </w:rPr>
        <w:t>تواطؤات</w:t>
      </w:r>
      <w:proofErr w:type="spellEnd"/>
      <w:r>
        <w:rPr>
          <w:rFonts w:ascii="Simplified Arabic" w:hAnsi="Simplified Arabic" w:cs="Simplified Arabic"/>
          <w:b/>
          <w:bCs/>
          <w:sz w:val="28"/>
          <w:szCs w:val="32"/>
          <w:rtl/>
          <w:lang w:bidi="ar-DZ"/>
        </w:rPr>
        <w:t xml:space="preserve"> تتخذ شكلا قانونيا معينا :</w:t>
      </w:r>
    </w:p>
    <w:p w14:paraId="7F3CB8E7" w14:textId="77777777" w:rsidR="00777492" w:rsidRDefault="00777492" w:rsidP="00777492">
      <w:pPr>
        <w:pStyle w:val="ListParagraph"/>
        <w:tabs>
          <w:tab w:val="right" w:pos="849"/>
          <w:tab w:val="right" w:pos="990"/>
        </w:tabs>
        <w:bidi/>
        <w:spacing w:after="120"/>
        <w:ind w:left="0" w:hanging="283"/>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فقد تتخذ </w:t>
      </w:r>
      <w:proofErr w:type="spellStart"/>
      <w:r>
        <w:rPr>
          <w:rFonts w:ascii="Simplified Arabic" w:hAnsi="Simplified Arabic" w:cs="Simplified Arabic"/>
          <w:sz w:val="28"/>
          <w:szCs w:val="32"/>
          <w:rtl/>
          <w:lang w:bidi="ar-DZ"/>
        </w:rPr>
        <w:t>التواطؤات</w:t>
      </w:r>
      <w:proofErr w:type="spellEnd"/>
      <w:r>
        <w:rPr>
          <w:rFonts w:ascii="Simplified Arabic" w:hAnsi="Simplified Arabic" w:cs="Simplified Arabic"/>
          <w:sz w:val="28"/>
          <w:szCs w:val="32"/>
          <w:rtl/>
          <w:lang w:bidi="ar-DZ"/>
        </w:rPr>
        <w:t xml:space="preserve"> أشكالا قانونية عضوية أو عقدية مثل : شركات الأموال أو شركات الأشخاص أو شركة مدنية. لكنها غالبا ما تتخذ شكل التجمع ذو الغاية الاقتصادية الموحدة </w:t>
      </w:r>
      <w:r>
        <w:rPr>
          <w:rFonts w:ascii="Simplified Arabic" w:hAnsi="Simplified Arabic" w:cs="Simplified Arabic"/>
          <w:sz w:val="28"/>
          <w:szCs w:val="32"/>
          <w:lang w:bidi="ar-DZ"/>
        </w:rPr>
        <w:t>G.I.E</w:t>
      </w:r>
      <w:r>
        <w:rPr>
          <w:rFonts w:ascii="Simplified Arabic" w:hAnsi="Simplified Arabic" w:cs="Simplified Arabic"/>
          <w:sz w:val="28"/>
          <w:szCs w:val="32"/>
          <w:rtl/>
          <w:lang w:bidi="ar-DZ"/>
        </w:rPr>
        <w:t xml:space="preserve"> الذي أطلق عليه المشرع الجزائري مصطلح – التجمعات-</w:t>
      </w:r>
    </w:p>
    <w:p w14:paraId="578E6124"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كما قد تتخذ </w:t>
      </w:r>
      <w:proofErr w:type="spellStart"/>
      <w:r>
        <w:rPr>
          <w:rFonts w:ascii="Simplified Arabic" w:hAnsi="Simplified Arabic" w:cs="Simplified Arabic"/>
          <w:sz w:val="28"/>
          <w:szCs w:val="32"/>
          <w:rtl/>
          <w:lang w:bidi="ar-DZ"/>
        </w:rPr>
        <w:t>التواطؤات</w:t>
      </w:r>
      <w:proofErr w:type="spellEnd"/>
      <w:r>
        <w:rPr>
          <w:rFonts w:ascii="Simplified Arabic" w:hAnsi="Simplified Arabic" w:cs="Simplified Arabic"/>
          <w:sz w:val="28"/>
          <w:szCs w:val="32"/>
          <w:rtl/>
          <w:lang w:bidi="ar-DZ"/>
        </w:rPr>
        <w:t xml:space="preserve"> أشكالا قانونية عقدية عن طريق إبرام عقد من العقود المعروفة المسماة أو غير المسماة وتضمينه بنود تقيد المنافسة.</w:t>
      </w:r>
    </w:p>
    <w:p w14:paraId="0C317939"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في هذا الإطار نميز بين كون التواطؤ ينشأ نفس الاتفاق الأصلي (المنشأ للشركة أو العلاقة العقدية) أو كونه يتم إبرام اتفاق مستقل ولاحق ينشأ التواطؤ . </w:t>
      </w:r>
    </w:p>
    <w:p w14:paraId="61043CB2" w14:textId="77777777" w:rsidR="00777492" w:rsidRDefault="00777492" w:rsidP="00777492">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فغالبا ما تتخذ </w:t>
      </w:r>
      <w:proofErr w:type="spellStart"/>
      <w:r>
        <w:rPr>
          <w:rFonts w:ascii="Simplified Arabic" w:hAnsi="Simplified Arabic" w:cs="Simplified Arabic"/>
          <w:sz w:val="28"/>
          <w:szCs w:val="32"/>
          <w:rtl/>
          <w:lang w:bidi="ar-DZ"/>
        </w:rPr>
        <w:t>التواطؤات</w:t>
      </w:r>
      <w:proofErr w:type="spellEnd"/>
      <w:r>
        <w:rPr>
          <w:rFonts w:ascii="Simplified Arabic" w:hAnsi="Simplified Arabic" w:cs="Simplified Arabic"/>
          <w:sz w:val="28"/>
          <w:szCs w:val="32"/>
          <w:rtl/>
          <w:lang w:bidi="ar-DZ"/>
        </w:rPr>
        <w:t xml:space="preserve"> شكلا يتضمن إحدى الصيغ القانونية ذات السمة العضوية كشركات الأموال أو الأشخاص. كما يمكن أن تتخذ شكل التجمعات ذات المصلحة </w:t>
      </w:r>
      <w:r>
        <w:rPr>
          <w:rFonts w:ascii="Simplified Arabic" w:hAnsi="Simplified Arabic" w:cs="Simplified Arabic"/>
          <w:sz w:val="28"/>
          <w:szCs w:val="32"/>
          <w:rtl/>
          <w:lang w:bidi="ar-DZ"/>
        </w:rPr>
        <w:lastRenderedPageBreak/>
        <w:t>الاقتصادية المشتركة. وقد تتخذ شكل عقد معروف في عالم الأعمال كخطاب النوايا وعقد التوزيع ... إلخ.</w:t>
      </w:r>
    </w:p>
    <w:p w14:paraId="7A997352" w14:textId="77777777" w:rsidR="00777492" w:rsidRDefault="00777492" w:rsidP="00777492">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وفي إطار تكيف التصرف على أنه تواطؤا لا يهم الشكل القانوني للاتفاق المهم مضمون الاتفاق. فإذا تضمن الاتفاق بنودًا محظورة تشكل </w:t>
      </w:r>
      <w:proofErr w:type="spellStart"/>
      <w:r>
        <w:rPr>
          <w:rFonts w:ascii="Simplified Arabic" w:hAnsi="Simplified Arabic" w:cs="Simplified Arabic"/>
          <w:sz w:val="28"/>
          <w:szCs w:val="32"/>
          <w:rtl/>
          <w:lang w:bidi="ar-DZ"/>
        </w:rPr>
        <w:t>اعتداءا</w:t>
      </w:r>
      <w:proofErr w:type="spellEnd"/>
      <w:r>
        <w:rPr>
          <w:rFonts w:ascii="Simplified Arabic" w:hAnsi="Simplified Arabic" w:cs="Simplified Arabic"/>
          <w:sz w:val="28"/>
          <w:szCs w:val="32"/>
          <w:rtl/>
          <w:lang w:bidi="ar-DZ"/>
        </w:rPr>
        <w:t xml:space="preserve"> على المنافسة الحرة ففي هذه الحالة يعتبر تواطؤا. ولا يؤثر في مشروعية الاتفاق من عدمه أن يتم من خلال صيغة قانونية جديدة كعقد يبرم خصيصا من أجل الاتفاق على التواطؤ أو أن يستخدم الاتفاق صيغة قانونية قائمة مسبقا . وفي هذه الحالة إذا كان العقد المنشئ للشركة أو المجموعة الاقتصادية هو نفسه الأداة التي تم بها إنشاء التواطؤ فيخضع كلاهما لقانون المنافسة لهذا يعتبر كلا من أطراف العقد أطرافا للتواطؤ.</w:t>
      </w:r>
    </w:p>
    <w:p w14:paraId="6BE9F7E3" w14:textId="77777777" w:rsidR="00777492" w:rsidRDefault="00777492" w:rsidP="00777492">
      <w:pPr>
        <w:pStyle w:val="ListParagraph"/>
        <w:tabs>
          <w:tab w:val="right" w:pos="849"/>
          <w:tab w:val="right" w:pos="990"/>
        </w:tabs>
        <w:bidi/>
        <w:spacing w:after="120"/>
        <w:ind w:left="0" w:hanging="283"/>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 xml:space="preserve">ب-2- </w:t>
      </w:r>
      <w:proofErr w:type="spellStart"/>
      <w:r>
        <w:rPr>
          <w:rFonts w:ascii="Simplified Arabic" w:hAnsi="Simplified Arabic" w:cs="Simplified Arabic"/>
          <w:b/>
          <w:bCs/>
          <w:sz w:val="28"/>
          <w:szCs w:val="32"/>
          <w:rtl/>
          <w:lang w:bidi="ar-DZ"/>
        </w:rPr>
        <w:t>التواطؤات</w:t>
      </w:r>
      <w:proofErr w:type="spellEnd"/>
      <w:r>
        <w:rPr>
          <w:rFonts w:ascii="Simplified Arabic" w:hAnsi="Simplified Arabic" w:cs="Simplified Arabic"/>
          <w:b/>
          <w:bCs/>
          <w:sz w:val="28"/>
          <w:szCs w:val="32"/>
          <w:rtl/>
          <w:lang w:bidi="ar-DZ"/>
        </w:rPr>
        <w:t xml:space="preserve"> الناتجة عن اتخاذ سلوك موحد.</w:t>
      </w:r>
    </w:p>
    <w:p w14:paraId="09D7BD46" w14:textId="77777777" w:rsidR="00777492" w:rsidRDefault="00777492" w:rsidP="00777492">
      <w:pPr>
        <w:tabs>
          <w:tab w:val="right" w:pos="849"/>
          <w:tab w:val="right" w:pos="990"/>
        </w:tabs>
        <w:bidi/>
        <w:spacing w:after="120"/>
        <w:ind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كما قد ينشأ</w:t>
      </w:r>
      <w:r>
        <w:rPr>
          <w:rFonts w:ascii="Simplified Arabic" w:hAnsi="Simplified Arabic" w:cs="Simplified Arabic"/>
          <w:b/>
          <w:bCs/>
          <w:sz w:val="28"/>
          <w:szCs w:val="32"/>
          <w:rtl/>
          <w:lang w:bidi="ar-DZ"/>
        </w:rPr>
        <w:t xml:space="preserve"> </w:t>
      </w:r>
      <w:r>
        <w:rPr>
          <w:rFonts w:ascii="Simplified Arabic" w:hAnsi="Simplified Arabic" w:cs="Simplified Arabic"/>
          <w:sz w:val="28"/>
          <w:szCs w:val="32"/>
          <w:rtl/>
          <w:lang w:bidi="ar-DZ"/>
        </w:rPr>
        <w:t xml:space="preserve">التواطؤ عن اتخاذ سلوك موحد بين مشروعين أو أكثر في غياب دليل </w:t>
      </w:r>
      <w:proofErr w:type="spellStart"/>
      <w:r>
        <w:rPr>
          <w:rFonts w:ascii="Simplified Arabic" w:hAnsi="Simplified Arabic" w:cs="Simplified Arabic"/>
          <w:sz w:val="28"/>
          <w:szCs w:val="32"/>
          <w:rtl/>
          <w:lang w:bidi="ar-DZ"/>
        </w:rPr>
        <w:t>شكلي،ويتم</w:t>
      </w:r>
      <w:proofErr w:type="spellEnd"/>
      <w:r>
        <w:rPr>
          <w:rFonts w:ascii="Simplified Arabic" w:hAnsi="Simplified Arabic" w:cs="Simplified Arabic"/>
          <w:sz w:val="28"/>
          <w:szCs w:val="32"/>
          <w:rtl/>
          <w:lang w:bidi="ar-DZ"/>
        </w:rPr>
        <w:t xml:space="preserve"> إثبات هذا التنسيق عندما تتوافر دلائل قوية ومحددة ومتوافقة على وجود التواطؤ.</w:t>
      </w:r>
    </w:p>
    <w:p w14:paraId="3484D902"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وهنا يطرح تساؤل حول كيفية استخلاص وجود التواطؤ من اتباع المشروعات لسلوك موحد وقد لا يكون مصحوبا بدلائل قوية في الواقع يمكن أن تؤدي إلى اعتبار ذلك السلوك الموحد تواطؤا.</w:t>
      </w:r>
    </w:p>
    <w:p w14:paraId="6785EC81"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ولقد عرفت محكمة العدل الأوروبية التنسيق بين المشروعات على النحو التالي : "إن مفهوم التنسيق هو شكل من أشكال التطابق في السلوك بين المشروعات الأطراف في ذلك التنسيق. يؤدي إلى حدوث تعاون عملي بين تلك المشروعات يمثل تقييدا للمنافسة دون أن يصل التوافق إلى حد إبرام اتفاقية أو عقد بالمعنى القانوني للكلمة " . </w:t>
      </w:r>
      <w:r>
        <w:rPr>
          <w:rStyle w:val="FootnoteReference"/>
          <w:rFonts w:ascii="Simplified Arabic" w:hAnsi="Simplified Arabic" w:cs="Simplified Arabic"/>
          <w:sz w:val="28"/>
          <w:szCs w:val="32"/>
          <w:rtl/>
          <w:lang w:bidi="ar-DZ"/>
        </w:rPr>
        <w:footnoteReference w:id="4"/>
      </w:r>
    </w:p>
    <w:p w14:paraId="17CEF558"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لهذا إثبات هذه الممارسات يتم بمختلف وسائل الاثبات فقد يستند إلى وثائق مكتوبة إن وجدت أو أدلة مادية مثل التحقيقات ،تصريحات الأطراف و المعاينات  و السعي إلى إقناع مجلس المنافسة بالرجوع إلى سير السوق و مدى تأثير سلوك أطراف التواطؤ عليه.</w:t>
      </w:r>
    </w:p>
    <w:p w14:paraId="79A6FAB2" w14:textId="77777777" w:rsidR="00777492" w:rsidRDefault="00777492" w:rsidP="00777492">
      <w:pPr>
        <w:pStyle w:val="ListParagraph"/>
        <w:tabs>
          <w:tab w:val="right" w:pos="849"/>
          <w:tab w:val="right" w:pos="990"/>
        </w:tabs>
        <w:bidi/>
        <w:spacing w:after="120"/>
        <w:ind w:left="0"/>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ج- أشكال تقييد المنافسة الناتجة عن التواطؤ</w:t>
      </w:r>
    </w:p>
    <w:p w14:paraId="15EC74AE"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ينتج التواطؤ عن بنود تؤدي إلى المساس بالمنافسة الحرة. و تختلف أشكال الممارسات المقيدة للمنافسة التي قد ترد في التواطؤ مما قد يصعب حصرها تحت شكل قانوني. فاخترنا أن نصنفها إلى مجموعات </w:t>
      </w:r>
      <w:proofErr w:type="spellStart"/>
      <w:r>
        <w:rPr>
          <w:rFonts w:ascii="Simplified Arabic" w:hAnsi="Simplified Arabic" w:cs="Simplified Arabic"/>
          <w:sz w:val="28"/>
          <w:szCs w:val="32"/>
          <w:rtl/>
          <w:lang w:bidi="ar-DZ"/>
        </w:rPr>
        <w:t>بناءا</w:t>
      </w:r>
      <w:proofErr w:type="spellEnd"/>
      <w:r>
        <w:rPr>
          <w:rFonts w:ascii="Simplified Arabic" w:hAnsi="Simplified Arabic" w:cs="Simplified Arabic"/>
          <w:sz w:val="28"/>
          <w:szCs w:val="32"/>
          <w:rtl/>
          <w:lang w:bidi="ar-DZ"/>
        </w:rPr>
        <w:t xml:space="preserve"> على تحليل الحالات المذكورة في المادة 06 من قانون المنافسة فهي تتمثل فيما يلي:</w:t>
      </w:r>
    </w:p>
    <w:p w14:paraId="2B44EDFC"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 xml:space="preserve">ج-1- الحالة العامة – الاخلال بالمنافسة -: </w:t>
      </w:r>
      <w:r>
        <w:rPr>
          <w:rFonts w:ascii="Simplified Arabic" w:hAnsi="Simplified Arabic" w:cs="Simplified Arabic"/>
          <w:sz w:val="28"/>
          <w:szCs w:val="32"/>
          <w:rtl/>
          <w:lang w:bidi="ar-DZ"/>
        </w:rPr>
        <w:t>وردت في الفقرة الاولى من المادة 6 من قانون المنافسة حالة عامة يعتد بها لتقدير مضمون الاتفاق و إن كان مقيدا للمنافسة أم لا . و هي  : أن يهدف أطراف التواطؤ  إلى عرقلة حرية المنافسة أو الحد منها أو الاخلال بها في نفس السوق أو في جزء جوهري منه .ونلاحظ أن المشرع اعتد بنية الاطراف مستعملا مصطلح –  يهدف - أي متى انصرفت نية الاطراف إلى المساس بالمنافسة الحرة اعتبر العمل المدبر تواطؤ سواء تحقق ذلك فعلا أم لا . وهذا ما يؤكد ذلك أن المشرع استعمل مصطلح – يمكن أن تهدف –  فلم يشترط أن يتحقق الاضرار بالمنافسة فعلا. لكن يشترط لاعتبار التواطؤ محققا إثبات العلاقة السببية بين هذه الممارسات و المساس بالمنافسة الحرة أو إمكانية المساس بها.</w:t>
      </w:r>
    </w:p>
    <w:p w14:paraId="0E6AADEC"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ج-2--</w:t>
      </w:r>
      <w:r>
        <w:rPr>
          <w:rFonts w:ascii="Simplified Arabic" w:hAnsi="Simplified Arabic" w:cs="Simplified Arabic"/>
          <w:sz w:val="28"/>
          <w:szCs w:val="32"/>
          <w:rtl/>
          <w:lang w:bidi="ar-DZ"/>
        </w:rPr>
        <w:t xml:space="preserve">  </w:t>
      </w:r>
      <w:r>
        <w:rPr>
          <w:rFonts w:ascii="Simplified Arabic" w:hAnsi="Simplified Arabic" w:cs="Simplified Arabic"/>
          <w:b/>
          <w:bCs/>
          <w:sz w:val="28"/>
          <w:szCs w:val="32"/>
          <w:rtl/>
          <w:lang w:bidi="ar-DZ"/>
        </w:rPr>
        <w:t>الحالات الخاصة</w:t>
      </w:r>
      <w:r>
        <w:rPr>
          <w:rFonts w:ascii="Simplified Arabic" w:hAnsi="Simplified Arabic" w:cs="Simplified Arabic"/>
          <w:sz w:val="28"/>
          <w:szCs w:val="32"/>
          <w:rtl/>
          <w:lang w:bidi="ar-DZ"/>
        </w:rPr>
        <w:t xml:space="preserve"> :كما ورد في الفقرات الأخرى من المادة 6 ذكر أمثلة عن مضمون الممارسات التي تعتبر تواطؤا ماسا بالمنافسة يمكن أن تقسم إلى ما يلي: </w:t>
      </w:r>
    </w:p>
    <w:p w14:paraId="2D9EF441"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w:t>
      </w:r>
      <w:proofErr w:type="spellStart"/>
      <w:r>
        <w:rPr>
          <w:rFonts w:ascii="Simplified Arabic" w:hAnsi="Simplified Arabic" w:cs="Simplified Arabic"/>
          <w:b/>
          <w:bCs/>
          <w:sz w:val="28"/>
          <w:szCs w:val="32"/>
          <w:rtl/>
          <w:lang w:bidi="ar-DZ"/>
        </w:rPr>
        <w:t>التواطؤات</w:t>
      </w:r>
      <w:proofErr w:type="spellEnd"/>
      <w:r>
        <w:rPr>
          <w:rFonts w:ascii="Simplified Arabic" w:hAnsi="Simplified Arabic" w:cs="Simplified Arabic"/>
          <w:b/>
          <w:bCs/>
          <w:sz w:val="28"/>
          <w:szCs w:val="32"/>
          <w:rtl/>
          <w:lang w:bidi="ar-DZ"/>
        </w:rPr>
        <w:t xml:space="preserve"> المتعلقة بالأسعار :</w:t>
      </w:r>
    </w:p>
    <w:p w14:paraId="460D19F6"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في الفقرة 5 من المادة 6 من قانون المنافسة نص المشرع على الممارسات التي تهدف إلى عرقلة تحديد الاسعار و ذلك بالتشجيع المصطنع لارتفاعها أو انخفاضها .</w:t>
      </w:r>
    </w:p>
    <w:p w14:paraId="7FA9BC9E"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فتشمل هذه الحالة أشكالا مختلفة من الممارسات التي ترتكز على الاسعار فهي لا تخص حالة رفع السعر فقط لكن تخص حالة تثبيت السعر أو خفضه .</w:t>
      </w:r>
    </w:p>
    <w:p w14:paraId="2DB5F9D4"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عمليا قد يتم تحديد السعر أفقيا أو عموديا. ويقصد بالتحديد الافقي للسعر والتحديد فهو يتعلق  بتحديد السعر الذي يتم بين كيانات اقتصادية مستقلة تتنافس في مستوى توزيع خدمة أو إنتاج واحد .فهذه الاتفاقات تزيل المنافسة بين العارضين فلا يكون بمقدور المستهلك الاختيار بينهم على أساس سعر تنافسي مثلا تحديد السعر بين المنجين أو بين الموزعين لسلعة ما .</w:t>
      </w:r>
      <w:r>
        <w:rPr>
          <w:rStyle w:val="FootnoteReference"/>
          <w:rFonts w:ascii="Simplified Arabic" w:hAnsi="Simplified Arabic" w:cs="Simplified Arabic"/>
          <w:sz w:val="28"/>
          <w:szCs w:val="32"/>
          <w:rtl/>
          <w:lang w:bidi="ar-DZ"/>
        </w:rPr>
        <w:footnoteReference w:id="5"/>
      </w:r>
    </w:p>
    <w:p w14:paraId="393DFA61"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كما قد يتم الاتفاق على تحديد السعر عموديا عن طريق اتفاق بين كيانات تجارية مستقلة على تحديد السعر في سلسلة التوزيع. فهذه الاتفاقات تخص شركات في مستويات مختلفة في تركيبة السوق بين منتجين و تجار الجملة أو تجار الجملة و تجار التجزئة .</w:t>
      </w:r>
    </w:p>
    <w:p w14:paraId="19BB3634"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w:t>
      </w:r>
      <w:proofErr w:type="spellStart"/>
      <w:r>
        <w:rPr>
          <w:rFonts w:ascii="Simplified Arabic" w:hAnsi="Simplified Arabic" w:cs="Simplified Arabic"/>
          <w:b/>
          <w:bCs/>
          <w:sz w:val="28"/>
          <w:szCs w:val="32"/>
          <w:rtl/>
          <w:lang w:bidi="ar-DZ"/>
        </w:rPr>
        <w:t>التواطؤات</w:t>
      </w:r>
      <w:proofErr w:type="spellEnd"/>
      <w:r>
        <w:rPr>
          <w:rFonts w:ascii="Simplified Arabic" w:hAnsi="Simplified Arabic" w:cs="Simplified Arabic"/>
          <w:b/>
          <w:bCs/>
          <w:sz w:val="28"/>
          <w:szCs w:val="32"/>
          <w:rtl/>
          <w:lang w:bidi="ar-DZ"/>
        </w:rPr>
        <w:t xml:space="preserve"> المتعلقة برفض التعامل  المنسق :</w:t>
      </w:r>
    </w:p>
    <w:p w14:paraId="3E1B2FFF"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تخص اتفاق أطراف التواطؤ على قطع التعامل مع آخرين أو التعامل معهم فقط بشروط معينة. وهذا بغرض تشكيل تكتل يعرقل قيان باقي المتدخلين بنشاطهم داخل السوق و بهذا يحقق الاطراف الاستحواذ على حصة أكبر من السوق و منع المنافسة المحتملة .</w:t>
      </w:r>
      <w:r>
        <w:rPr>
          <w:rStyle w:val="FootnoteReference"/>
          <w:rFonts w:ascii="Simplified Arabic" w:hAnsi="Simplified Arabic" w:cs="Simplified Arabic"/>
          <w:sz w:val="28"/>
          <w:szCs w:val="32"/>
          <w:rtl/>
          <w:lang w:bidi="ar-DZ"/>
        </w:rPr>
        <w:footnoteReference w:id="6"/>
      </w:r>
    </w:p>
    <w:p w14:paraId="340D31F0"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 هذه </w:t>
      </w:r>
      <w:proofErr w:type="spellStart"/>
      <w:r>
        <w:rPr>
          <w:rFonts w:ascii="Simplified Arabic" w:hAnsi="Simplified Arabic" w:cs="Simplified Arabic"/>
          <w:sz w:val="28"/>
          <w:szCs w:val="32"/>
          <w:rtl/>
          <w:lang w:bidi="ar-DZ"/>
        </w:rPr>
        <w:t>التواطؤات</w:t>
      </w:r>
      <w:proofErr w:type="spellEnd"/>
      <w:r>
        <w:rPr>
          <w:rFonts w:ascii="Simplified Arabic" w:hAnsi="Simplified Arabic" w:cs="Simplified Arabic"/>
          <w:sz w:val="28"/>
          <w:szCs w:val="32"/>
          <w:rtl/>
          <w:lang w:bidi="ar-DZ"/>
        </w:rPr>
        <w:t xml:space="preserve"> نصت عليها الفقرتين  6 و7 من المادة 6 من قانون المنافسة وذلك بالنص على حالتين : </w:t>
      </w:r>
    </w:p>
    <w:p w14:paraId="79419807"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تطبيق شروط غير متكافئة  لنفس الخدمات تجاه الشركاء التجاريين </w:t>
      </w:r>
      <w:proofErr w:type="spellStart"/>
      <w:r>
        <w:rPr>
          <w:rFonts w:ascii="Simplified Arabic" w:hAnsi="Simplified Arabic" w:cs="Simplified Arabic"/>
          <w:sz w:val="28"/>
          <w:szCs w:val="32"/>
          <w:rtl/>
          <w:lang w:bidi="ar-DZ"/>
        </w:rPr>
        <w:t>منما</w:t>
      </w:r>
      <w:proofErr w:type="spellEnd"/>
      <w:r>
        <w:rPr>
          <w:rFonts w:ascii="Simplified Arabic" w:hAnsi="Simplified Arabic" w:cs="Simplified Arabic"/>
          <w:sz w:val="28"/>
          <w:szCs w:val="32"/>
          <w:rtl/>
          <w:lang w:bidi="ar-DZ"/>
        </w:rPr>
        <w:t xml:space="preserve"> يحرمهم من منافع المنافسة . فهنا لا يقرر أطراف التواطؤ عدم التعامل مع الاخرين لكن تعاملهم يربط بشروط غير عادلة ، هذا ما يخفي رغبة في الاضرار بهم.</w:t>
      </w:r>
    </w:p>
    <w:p w14:paraId="64724E8F"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-اخضاع ابرام العقود مع الشركات لقبولهم خدمات إضافية ليس لها صلة بموضوع العقود هذه العقود سواء بحكم طبيعتها أو حسب الاعراف التجارية . في هذه الحالة لا </w:t>
      </w:r>
      <w:r>
        <w:rPr>
          <w:rFonts w:ascii="Simplified Arabic" w:hAnsi="Simplified Arabic" w:cs="Simplified Arabic"/>
          <w:sz w:val="28"/>
          <w:szCs w:val="32"/>
          <w:rtl/>
          <w:lang w:bidi="ar-DZ"/>
        </w:rPr>
        <w:lastRenderedPageBreak/>
        <w:t>يخضع التعامل مع باقي الشركات لقواعد السير العادي لسوق إذ أن الاصل أن رفض التعامل قد يكون قانونيا إذ أن لكل مؤسسة الحق في أن تتعامل أو ترفض التعامل مع من تشاء من المتدخلين في السوق  بالشروط التي ترى أنها تحقق مصلحتها الاقتصادية .طالما لم يكن الرفض أو تقييد التعامل مبعثه الرغبة في خلق احتكار أو المحافظة عليه .</w:t>
      </w:r>
      <w:r>
        <w:rPr>
          <w:rStyle w:val="FootnoteReference"/>
          <w:rFonts w:ascii="Simplified Arabic" w:hAnsi="Simplified Arabic" w:cs="Simplified Arabic"/>
          <w:sz w:val="28"/>
          <w:szCs w:val="32"/>
          <w:rtl/>
          <w:lang w:bidi="ar-DZ"/>
        </w:rPr>
        <w:footnoteReference w:id="7"/>
      </w:r>
      <w:r>
        <w:rPr>
          <w:rFonts w:ascii="Simplified Arabic" w:hAnsi="Simplified Arabic" w:cs="Simplified Arabic"/>
          <w:sz w:val="28"/>
          <w:szCs w:val="32"/>
          <w:rtl/>
          <w:lang w:bidi="ar-DZ"/>
        </w:rPr>
        <w:t xml:space="preserve"> </w:t>
      </w:r>
    </w:p>
    <w:p w14:paraId="103CB445"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 يتحقق ذلك إذا توافر فيه شرطان : </w:t>
      </w:r>
    </w:p>
    <w:p w14:paraId="03DC7943"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الشرط الاول</w:t>
      </w:r>
      <w:r>
        <w:rPr>
          <w:rFonts w:ascii="Simplified Arabic" w:hAnsi="Simplified Arabic" w:cs="Simplified Arabic"/>
          <w:sz w:val="28"/>
          <w:szCs w:val="32"/>
          <w:rtl/>
          <w:lang w:bidi="ar-DZ"/>
        </w:rPr>
        <w:t xml:space="preserve"> : إتباع نفس السلوك من طرف أعضاء التواطؤ – وجود فعل التنسيق-</w:t>
      </w:r>
    </w:p>
    <w:p w14:paraId="3C24A9AD"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الشرط الثاني</w:t>
      </w:r>
      <w:r>
        <w:rPr>
          <w:rFonts w:ascii="Simplified Arabic" w:hAnsi="Simplified Arabic" w:cs="Simplified Arabic"/>
          <w:sz w:val="28"/>
          <w:szCs w:val="32"/>
          <w:rtl/>
          <w:lang w:bidi="ar-DZ"/>
        </w:rPr>
        <w:t xml:space="preserve"> : أن تفرض نفس الشروط –التعسفية التي ليس لها علاقة بموضوع التعامل الاصلي – من طرف كل أطراف التواطؤ. </w:t>
      </w:r>
    </w:p>
    <w:p w14:paraId="658E1D60"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w:t>
      </w:r>
      <w:proofErr w:type="spellStart"/>
      <w:r>
        <w:rPr>
          <w:rFonts w:ascii="Simplified Arabic" w:hAnsi="Simplified Arabic" w:cs="Simplified Arabic"/>
          <w:b/>
          <w:bCs/>
          <w:sz w:val="28"/>
          <w:szCs w:val="32"/>
          <w:rtl/>
          <w:lang w:bidi="ar-DZ"/>
        </w:rPr>
        <w:t>التواطؤات</w:t>
      </w:r>
      <w:proofErr w:type="spellEnd"/>
      <w:r>
        <w:rPr>
          <w:rFonts w:ascii="Simplified Arabic" w:hAnsi="Simplified Arabic" w:cs="Simplified Arabic"/>
          <w:b/>
          <w:bCs/>
          <w:sz w:val="28"/>
          <w:szCs w:val="32"/>
          <w:rtl/>
          <w:lang w:bidi="ar-DZ"/>
        </w:rPr>
        <w:t xml:space="preserve"> المتعلقة بترتيبات تتعلق بتنظيم السوق :</w:t>
      </w:r>
    </w:p>
    <w:p w14:paraId="1809C950"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قد بتضمن التواطؤ بنودا تخص اقتسام السوق أو مراقبة مصادر التموين أو </w:t>
      </w:r>
      <w:proofErr w:type="spellStart"/>
      <w:r>
        <w:rPr>
          <w:rFonts w:ascii="Simplified Arabic" w:hAnsi="Simplified Arabic" w:cs="Simplified Arabic"/>
          <w:sz w:val="28"/>
          <w:szCs w:val="32"/>
          <w:rtl/>
          <w:lang w:bidi="ar-DZ"/>
        </w:rPr>
        <w:t>أو</w:t>
      </w:r>
      <w:proofErr w:type="spellEnd"/>
      <w:r>
        <w:rPr>
          <w:rFonts w:ascii="Simplified Arabic" w:hAnsi="Simplified Arabic" w:cs="Simplified Arabic"/>
          <w:sz w:val="28"/>
          <w:szCs w:val="32"/>
          <w:rtl/>
          <w:lang w:bidi="ar-DZ"/>
        </w:rPr>
        <w:t xml:space="preserve"> التسويق أو الاستثمارات. و لقد تضمنت المادة 6 في الفقرتين 1 و2 و 3 النص على 3 حالات تخص تنظيم السوق و هم : </w:t>
      </w:r>
    </w:p>
    <w:p w14:paraId="4A7CC8F2"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w:t>
      </w:r>
      <w:r>
        <w:rPr>
          <w:rFonts w:ascii="Simplified Arabic" w:hAnsi="Simplified Arabic" w:cs="Simplified Arabic"/>
          <w:sz w:val="28"/>
          <w:szCs w:val="32"/>
          <w:rtl/>
          <w:lang w:bidi="ar-DZ"/>
        </w:rPr>
        <w:t xml:space="preserve"> تقليص و مراقبة الانتاج أو منافذ التسويق أو الاستثمارات أو التطور التقني .</w:t>
      </w:r>
    </w:p>
    <w:p w14:paraId="3035BF4F"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w:t>
      </w:r>
      <w:r>
        <w:rPr>
          <w:rFonts w:ascii="Simplified Arabic" w:hAnsi="Simplified Arabic" w:cs="Simplified Arabic"/>
          <w:sz w:val="28"/>
          <w:szCs w:val="32"/>
          <w:rtl/>
          <w:lang w:bidi="ar-DZ"/>
        </w:rPr>
        <w:t>اقتسام الاسواق أو مصادر التموين.</w:t>
      </w:r>
    </w:p>
    <w:p w14:paraId="18F919E9"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w:t>
      </w:r>
      <w:r>
        <w:rPr>
          <w:rFonts w:ascii="Simplified Arabic" w:hAnsi="Simplified Arabic" w:cs="Simplified Arabic"/>
          <w:sz w:val="28"/>
          <w:szCs w:val="32"/>
          <w:rtl/>
          <w:lang w:bidi="ar-DZ"/>
        </w:rPr>
        <w:t xml:space="preserve">الحد من الدخول إلى السوق أو ممارسة النشاطات التجارية فيه. </w:t>
      </w:r>
    </w:p>
    <w:p w14:paraId="2763BBD0"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يسعى أطراف هذا النوع من </w:t>
      </w:r>
      <w:proofErr w:type="spellStart"/>
      <w:r>
        <w:rPr>
          <w:rFonts w:ascii="Simplified Arabic" w:hAnsi="Simplified Arabic" w:cs="Simplified Arabic"/>
          <w:sz w:val="28"/>
          <w:szCs w:val="32"/>
          <w:rtl/>
          <w:lang w:bidi="ar-DZ"/>
        </w:rPr>
        <w:t>التواطؤات</w:t>
      </w:r>
      <w:proofErr w:type="spellEnd"/>
      <w:r>
        <w:rPr>
          <w:rFonts w:ascii="Simplified Arabic" w:hAnsi="Simplified Arabic" w:cs="Simplified Arabic"/>
          <w:sz w:val="28"/>
          <w:szCs w:val="32"/>
          <w:rtl/>
          <w:lang w:bidi="ar-DZ"/>
        </w:rPr>
        <w:t xml:space="preserve"> إلى السيطرة على السوق عن طريق التحكم في سيره بقيام  بتقسيم السوق سواء جغرافيا عن طريق فرض على كل مؤسسة في سلسلة التوزيع بان تبيع في سلع المنتج أو المصنع في </w:t>
      </w:r>
      <w:proofErr w:type="spellStart"/>
      <w:r>
        <w:rPr>
          <w:rFonts w:ascii="Simplified Arabic" w:hAnsi="Simplified Arabic" w:cs="Simplified Arabic"/>
          <w:sz w:val="28"/>
          <w:szCs w:val="32"/>
          <w:rtl/>
          <w:lang w:bidi="ar-DZ"/>
        </w:rPr>
        <w:t>في</w:t>
      </w:r>
      <w:proofErr w:type="spellEnd"/>
      <w:r>
        <w:rPr>
          <w:rFonts w:ascii="Simplified Arabic" w:hAnsi="Simplified Arabic" w:cs="Simplified Arabic"/>
          <w:sz w:val="28"/>
          <w:szCs w:val="32"/>
          <w:rtl/>
          <w:lang w:bidi="ar-DZ"/>
        </w:rPr>
        <w:t xml:space="preserve"> منطقة جغرافية معينة أو تحديد نسب مئوية متاحة لكل منتج أو تخصيص عملاء لكل مؤسسة طرف في التواطؤ. </w:t>
      </w:r>
    </w:p>
    <w:p w14:paraId="3828EEEF"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كما قد يتجسد هذا الشكل في تقييد المنافسة عن طريق إقامة عراقيل في مجال التوزيع والإنتاج بغرض الحد من سلطة المشروعات في تحديد حجم الإنتاج أو وضع قيود كمية </w:t>
      </w:r>
      <w:r>
        <w:rPr>
          <w:rFonts w:ascii="Simplified Arabic" w:hAnsi="Simplified Arabic" w:cs="Simplified Arabic"/>
          <w:sz w:val="28"/>
          <w:szCs w:val="32"/>
          <w:rtl/>
          <w:lang w:bidi="ar-DZ"/>
        </w:rPr>
        <w:lastRenderedPageBreak/>
        <w:t>على ما يقوم به المشروع من تسويق لإنتاجه في السوق. كما يعتبر تحديد حصص الإنتاج شكلا من أشكال التحريف.</w:t>
      </w:r>
    </w:p>
    <w:p w14:paraId="15630E89" w14:textId="77777777" w:rsidR="00777492" w:rsidRDefault="00777492" w:rsidP="00777492">
      <w:pPr>
        <w:pStyle w:val="ListParagraph"/>
        <w:tabs>
          <w:tab w:val="right" w:pos="849"/>
          <w:tab w:val="right" w:pos="990"/>
        </w:tabs>
        <w:bidi/>
        <w:spacing w:after="120"/>
        <w:ind w:left="-2"/>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فتسعى المؤسسات اطراف التواطؤ إلى منع اختراق السوق من قبل المشروعات الجديدة التي ترغب في الدخول إلى السوق أو تلك التي تهدف إلى تغيير البنية التنافسية لسوق ما وذلك بإبعاد المشروعات الموجودة بالفعل في تلك السوق او الخد من قدراتها التنافسية.</w:t>
      </w:r>
    </w:p>
    <w:p w14:paraId="14314ABB" w14:textId="77777777" w:rsidR="00777492" w:rsidRDefault="00777492" w:rsidP="00777492">
      <w:pPr>
        <w:pStyle w:val="ListParagraph"/>
        <w:tabs>
          <w:tab w:val="right" w:pos="849"/>
          <w:tab w:val="right" w:pos="990"/>
        </w:tabs>
        <w:bidi/>
        <w:spacing w:after="120"/>
        <w:ind w:left="-2"/>
        <w:jc w:val="both"/>
        <w:rPr>
          <w:rFonts w:ascii="Simplified Arabic" w:hAnsi="Simplified Arabic" w:cs="Simplified Arabic"/>
          <w:sz w:val="28"/>
          <w:szCs w:val="32"/>
          <w:rtl/>
          <w:lang w:bidi="ar-DZ"/>
        </w:rPr>
      </w:pPr>
    </w:p>
    <w:p w14:paraId="420C9ACF" w14:textId="77777777" w:rsidR="00777492" w:rsidRDefault="00777492" w:rsidP="00777492">
      <w:pPr>
        <w:pStyle w:val="ListParagraph"/>
        <w:tabs>
          <w:tab w:val="right" w:pos="849"/>
          <w:tab w:val="right" w:pos="990"/>
        </w:tabs>
        <w:bidi/>
        <w:spacing w:after="120"/>
        <w:ind w:left="-2"/>
        <w:jc w:val="both"/>
        <w:rPr>
          <w:rFonts w:ascii="Simplified Arabic" w:hAnsi="Simplified Arabic" w:cs="Simplified Arabic"/>
          <w:sz w:val="28"/>
          <w:szCs w:val="32"/>
          <w:rtl/>
          <w:lang w:bidi="ar-DZ"/>
        </w:rPr>
      </w:pPr>
    </w:p>
    <w:p w14:paraId="789BDDD9"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 xml:space="preserve">- </w:t>
      </w:r>
      <w:proofErr w:type="spellStart"/>
      <w:r>
        <w:rPr>
          <w:rFonts w:ascii="Simplified Arabic" w:hAnsi="Simplified Arabic" w:cs="Simplified Arabic"/>
          <w:b/>
          <w:bCs/>
          <w:sz w:val="28"/>
          <w:szCs w:val="32"/>
          <w:rtl/>
          <w:lang w:bidi="ar-DZ"/>
        </w:rPr>
        <w:t>التواطؤات</w:t>
      </w:r>
      <w:proofErr w:type="spellEnd"/>
      <w:r>
        <w:rPr>
          <w:rFonts w:ascii="Simplified Arabic" w:hAnsi="Simplified Arabic" w:cs="Simplified Arabic"/>
          <w:b/>
          <w:bCs/>
          <w:sz w:val="28"/>
          <w:szCs w:val="32"/>
          <w:rtl/>
          <w:lang w:bidi="ar-DZ"/>
        </w:rPr>
        <w:t xml:space="preserve"> المتعلقة بمنح صفقات عمومية :</w:t>
      </w:r>
    </w:p>
    <w:p w14:paraId="0E9AC831"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xml:space="preserve">تناولت الفقرة الاخيرة من المادة 6 هذه الحالة عن طريق نصها على حضر </w:t>
      </w:r>
      <w:proofErr w:type="spellStart"/>
      <w:r>
        <w:rPr>
          <w:rFonts w:ascii="Simplified Arabic" w:hAnsi="Simplified Arabic" w:cs="Simplified Arabic"/>
          <w:sz w:val="28"/>
          <w:szCs w:val="32"/>
          <w:rtl/>
          <w:lang w:bidi="ar-DZ"/>
        </w:rPr>
        <w:t>التواطؤات</w:t>
      </w:r>
      <w:proofErr w:type="spellEnd"/>
      <w:r>
        <w:rPr>
          <w:rFonts w:ascii="Simplified Arabic" w:hAnsi="Simplified Arabic" w:cs="Simplified Arabic"/>
          <w:sz w:val="28"/>
          <w:szCs w:val="32"/>
          <w:rtl/>
          <w:lang w:bidi="ar-DZ"/>
        </w:rPr>
        <w:t xml:space="preserve"> التي تهدف إلى منح صفقة عمومية لفائدة القائمين أطراف تواطؤ : </w:t>
      </w:r>
      <w:r>
        <w:rPr>
          <w:rFonts w:ascii="Simplified Arabic" w:hAnsi="Simplified Arabic" w:cs="Simplified Arabic"/>
          <w:b/>
          <w:bCs/>
          <w:sz w:val="28"/>
          <w:szCs w:val="32"/>
          <w:rtl/>
          <w:lang w:bidi="ar-DZ"/>
        </w:rPr>
        <w:t>'' السماح بمنح صفقة عمومية لفائدة أصحاب هذه الممارسات المقيدة ''</w:t>
      </w:r>
    </w:p>
    <w:p w14:paraId="62FECB1A" w14:textId="77777777" w:rsidR="00777492" w:rsidRDefault="00777492" w:rsidP="00777492">
      <w:pPr>
        <w:pStyle w:val="ListParagraph"/>
        <w:tabs>
          <w:tab w:val="right" w:pos="849"/>
          <w:tab w:val="right" w:pos="990"/>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هذه الحالة تخص حالة قيام المؤسسات الراغبة في التقدم لصفقة عمومية بالاتفاق على اقتسام الصفقات العمومية في السوق بتعيين مؤسسة تقترح أفضل عرض و هذا ما يؤدي إلى القضاء على عنصر المنافسة الذي يعتبر من مبادئ الصفقات العمومية. و تؤدي هذه الممارسة إلى انخدع رب العمل بالعروض الممنوحة في منافسة صورية تخفي اتفاق تواطؤ. والذي غالبا ما تتفق فيه المؤسسات على عمل مدبر مستمر و تتداول على تقديم العروض في صفقات عمومية متعددة تفوز بها المؤسسات المتواطئة بالتداول.</w:t>
      </w:r>
    </w:p>
    <w:p w14:paraId="63C29356" w14:textId="77777777" w:rsidR="00777492" w:rsidRDefault="00777492" w:rsidP="00777492">
      <w:pPr>
        <w:pStyle w:val="ListParagraph"/>
        <w:tabs>
          <w:tab w:val="right" w:pos="849"/>
          <w:tab w:val="right" w:pos="990"/>
          <w:tab w:val="left" w:pos="2592"/>
          <w:tab w:val="center" w:pos="4536"/>
        </w:tabs>
        <w:bidi/>
        <w:spacing w:after="120"/>
        <w:ind w:left="0"/>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ab/>
      </w:r>
      <w:r>
        <w:rPr>
          <w:rFonts w:ascii="Simplified Arabic" w:hAnsi="Simplified Arabic" w:cs="Simplified Arabic"/>
          <w:b/>
          <w:bCs/>
          <w:sz w:val="28"/>
          <w:szCs w:val="32"/>
          <w:rtl/>
          <w:lang w:bidi="ar-DZ"/>
        </w:rPr>
        <w:tab/>
        <w:t xml:space="preserve">د- حالات الترخيص للتواطؤ : </w:t>
      </w:r>
    </w:p>
    <w:p w14:paraId="3A9B43DA" w14:textId="77777777" w:rsidR="00777492" w:rsidRDefault="00777492" w:rsidP="00777492">
      <w:pPr>
        <w:pStyle w:val="ListParagraph"/>
        <w:tabs>
          <w:tab w:val="right" w:pos="849"/>
          <w:tab w:val="right" w:pos="990"/>
        </w:tabs>
        <w:bidi/>
        <w:spacing w:after="120"/>
        <w:ind w:left="0"/>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قرر المشرع حالات معينة تبرر فيها </w:t>
      </w:r>
      <w:proofErr w:type="spellStart"/>
      <w:r>
        <w:rPr>
          <w:rFonts w:ascii="Simplified Arabic" w:hAnsi="Simplified Arabic" w:cs="Simplified Arabic"/>
          <w:sz w:val="28"/>
          <w:szCs w:val="32"/>
          <w:rtl/>
          <w:lang w:bidi="ar-DZ"/>
        </w:rPr>
        <w:t>التواطؤات</w:t>
      </w:r>
      <w:proofErr w:type="spellEnd"/>
      <w:r>
        <w:rPr>
          <w:rFonts w:ascii="Simplified Arabic" w:hAnsi="Simplified Arabic" w:cs="Simplified Arabic"/>
          <w:sz w:val="28"/>
          <w:szCs w:val="32"/>
          <w:rtl/>
          <w:lang w:bidi="ar-DZ"/>
        </w:rPr>
        <w:t xml:space="preserve">  و ذلك في  المادتين 08 و09 من قانون المنافسة .و ذلك في الحالتين التاليتين :</w:t>
      </w:r>
    </w:p>
    <w:p w14:paraId="7186D477" w14:textId="77777777" w:rsidR="00777492" w:rsidRDefault="00777492" w:rsidP="00777492">
      <w:pPr>
        <w:tabs>
          <w:tab w:val="right" w:pos="849"/>
          <w:tab w:val="right" w:pos="1132"/>
        </w:tabs>
        <w:bidi/>
        <w:spacing w:after="120"/>
        <w:ind w:left="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-الاتفاقات والممارسات الناشئة عن نص تشريعي أو تنظيمي.</w:t>
      </w:r>
    </w:p>
    <w:p w14:paraId="5C91C400" w14:textId="77777777" w:rsidR="00777492" w:rsidRDefault="00777492" w:rsidP="00777492">
      <w:pPr>
        <w:tabs>
          <w:tab w:val="right" w:pos="849"/>
          <w:tab w:val="right" w:pos="1132"/>
        </w:tabs>
        <w:bidi/>
        <w:spacing w:after="120"/>
        <w:ind w:left="567"/>
        <w:jc w:val="both"/>
        <w:rPr>
          <w:rFonts w:ascii="Simplified Arabic" w:hAnsi="Simplified Arabic" w:cs="Simplified Arabic"/>
          <w:b/>
          <w:bCs/>
          <w:sz w:val="28"/>
          <w:szCs w:val="32"/>
          <w:lang w:bidi="ar-DZ"/>
        </w:rPr>
      </w:pPr>
      <w:r>
        <w:rPr>
          <w:rFonts w:ascii="Simplified Arabic" w:hAnsi="Simplified Arabic" w:cs="Simplified Arabic"/>
          <w:sz w:val="28"/>
          <w:szCs w:val="32"/>
          <w:rtl/>
          <w:lang w:bidi="ar-DZ"/>
        </w:rPr>
        <w:lastRenderedPageBreak/>
        <w:t>-الاتفاقات التي يثبت أصحابها أنها تحقق تطور اقتصادي أو تقني أو تساهم في تحسين الشغل أو من شأنها السماح للمؤسسات المعنية الصغيرة أو المتوسطة بتعزيز وضعيتها التنافسية في السوق.</w:t>
      </w:r>
    </w:p>
    <w:p w14:paraId="5F192E0E" w14:textId="77777777" w:rsidR="00777492" w:rsidRDefault="00777492" w:rsidP="00777492">
      <w:pPr>
        <w:pStyle w:val="ListParagraph"/>
        <w:tabs>
          <w:tab w:val="right" w:pos="849"/>
          <w:tab w:val="right" w:pos="990"/>
        </w:tabs>
        <w:bidi/>
        <w:spacing w:after="120"/>
        <w:ind w:left="0"/>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         فرغم كونها ممارسات مقيدة للمنافسة إلا</w:t>
      </w:r>
      <w:r>
        <w:rPr>
          <w:rFonts w:ascii="Simplified Arabic" w:hAnsi="Simplified Arabic" w:cs="Simplified Arabic"/>
          <w:b/>
          <w:bCs/>
          <w:sz w:val="28"/>
          <w:szCs w:val="32"/>
          <w:rtl/>
          <w:lang w:bidi="ar-DZ"/>
        </w:rPr>
        <w:t xml:space="preserve"> </w:t>
      </w:r>
      <w:r>
        <w:rPr>
          <w:rFonts w:ascii="Simplified Arabic" w:hAnsi="Simplified Arabic" w:cs="Simplified Arabic"/>
          <w:sz w:val="28"/>
          <w:szCs w:val="32"/>
          <w:rtl/>
          <w:lang w:bidi="ar-DZ"/>
        </w:rPr>
        <w:t xml:space="preserve">أنها تحقق  مصلحة عامة معتبرة قانونا لهذا تسمى </w:t>
      </w:r>
      <w:proofErr w:type="spellStart"/>
      <w:r>
        <w:rPr>
          <w:rFonts w:ascii="Simplified Arabic" w:hAnsi="Simplified Arabic" w:cs="Simplified Arabic"/>
          <w:sz w:val="28"/>
          <w:szCs w:val="32"/>
          <w:rtl/>
          <w:lang w:bidi="ar-DZ"/>
        </w:rPr>
        <w:t>بالتواطؤات</w:t>
      </w:r>
      <w:proofErr w:type="spellEnd"/>
      <w:r>
        <w:rPr>
          <w:rFonts w:ascii="Simplified Arabic" w:hAnsi="Simplified Arabic" w:cs="Simplified Arabic"/>
          <w:sz w:val="28"/>
          <w:szCs w:val="32"/>
          <w:rtl/>
          <w:lang w:bidi="ar-DZ"/>
        </w:rPr>
        <w:t xml:space="preserve"> المفيدة </w:t>
      </w:r>
      <w:r>
        <w:rPr>
          <w:rFonts w:ascii="Simplified Arabic" w:hAnsi="Simplified Arabic" w:cs="Simplified Arabic"/>
          <w:sz w:val="28"/>
          <w:szCs w:val="32"/>
          <w:lang w:bidi="ar-DZ"/>
        </w:rPr>
        <w:t>les bonnes ententes</w:t>
      </w:r>
      <w:r>
        <w:rPr>
          <w:rFonts w:ascii="Simplified Arabic" w:hAnsi="Simplified Arabic" w:cs="Simplified Arabic"/>
          <w:sz w:val="28"/>
          <w:szCs w:val="32"/>
          <w:rtl/>
          <w:lang w:bidi="ar-DZ"/>
        </w:rPr>
        <w:t xml:space="preserve"> </w:t>
      </w:r>
      <w:r>
        <w:rPr>
          <w:rFonts w:ascii="Simplified Arabic" w:hAnsi="Simplified Arabic" w:cs="Simplified Arabic"/>
          <w:sz w:val="28"/>
          <w:szCs w:val="32"/>
          <w:lang w:bidi="ar-DZ"/>
        </w:rPr>
        <w:t xml:space="preserve"> . </w:t>
      </w:r>
      <w:r>
        <w:rPr>
          <w:rFonts w:ascii="Simplified Arabic" w:hAnsi="Simplified Arabic" w:cs="Simplified Arabic"/>
          <w:sz w:val="28"/>
          <w:szCs w:val="32"/>
          <w:rtl/>
          <w:lang w:bidi="ar-DZ"/>
        </w:rPr>
        <w:t xml:space="preserve"> و يلتزم الاطراف في هذه الحالات الخاصة أن يثبتوا الفوائد التي تعود على الاقتصاد نتيجة لاتفاقهم .</w:t>
      </w:r>
    </w:p>
    <w:p w14:paraId="6408CB2A" w14:textId="77777777" w:rsidR="00777492" w:rsidRDefault="00777492" w:rsidP="00777492">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فيمنح مجلس المنافسة ترخيصا لهذه </w:t>
      </w:r>
      <w:proofErr w:type="spellStart"/>
      <w:r>
        <w:rPr>
          <w:rFonts w:ascii="Simplified Arabic" w:hAnsi="Simplified Arabic" w:cs="Simplified Arabic"/>
          <w:sz w:val="28"/>
          <w:szCs w:val="32"/>
          <w:rtl/>
          <w:lang w:bidi="ar-DZ"/>
        </w:rPr>
        <w:t>التواطؤات</w:t>
      </w:r>
      <w:proofErr w:type="spellEnd"/>
      <w:r>
        <w:rPr>
          <w:rFonts w:ascii="Simplified Arabic" w:hAnsi="Simplified Arabic" w:cs="Simplified Arabic"/>
          <w:sz w:val="28"/>
          <w:szCs w:val="32"/>
          <w:rtl/>
          <w:lang w:bidi="ar-DZ"/>
        </w:rPr>
        <w:t xml:space="preserve"> </w:t>
      </w:r>
      <w:proofErr w:type="spellStart"/>
      <w:r>
        <w:rPr>
          <w:rFonts w:ascii="Simplified Arabic" w:hAnsi="Simplified Arabic" w:cs="Simplified Arabic"/>
          <w:sz w:val="28"/>
          <w:szCs w:val="32"/>
          <w:rtl/>
          <w:lang w:bidi="ar-DZ"/>
        </w:rPr>
        <w:t>بناءا</w:t>
      </w:r>
      <w:proofErr w:type="spellEnd"/>
      <w:r>
        <w:rPr>
          <w:rFonts w:ascii="Simplified Arabic" w:hAnsi="Simplified Arabic" w:cs="Simplified Arabic"/>
          <w:sz w:val="28"/>
          <w:szCs w:val="32"/>
          <w:rtl/>
          <w:lang w:bidi="ar-DZ"/>
        </w:rPr>
        <w:t xml:space="preserve"> على طلب المؤسسات المعنية واستنادا إلى المعلومات المقدمة له. و يتم ذلك عن طريق طلب الحصول على ترخيص بعدم التدخل و ذلك حسب الاجراءات المحددة في المرسوم التنفيذي رقم 05-175 المؤرخ في 12 ماي 2005 المحدد لكيفيات الحصول على ترخيص بعدم التدخل بخصوص الاتفاقات ووضعية الهيمنة.</w:t>
      </w:r>
      <w:r>
        <w:rPr>
          <w:rStyle w:val="FootnoteReference"/>
          <w:rFonts w:ascii="Simplified Arabic" w:hAnsi="Simplified Arabic" w:cs="Simplified Arabic"/>
          <w:sz w:val="28"/>
          <w:szCs w:val="32"/>
          <w:rtl/>
          <w:lang w:bidi="ar-DZ"/>
        </w:rPr>
        <w:footnoteReference w:id="8"/>
      </w:r>
      <w:r>
        <w:rPr>
          <w:rFonts w:ascii="Simplified Arabic" w:hAnsi="Simplified Arabic" w:cs="Simplified Arabic"/>
          <w:sz w:val="28"/>
          <w:szCs w:val="32"/>
          <w:rtl/>
          <w:lang w:bidi="ar-DZ"/>
        </w:rPr>
        <w:t xml:space="preserve">سنتطرق لهذا الاجراءات في العنصر الخاص بالترخيص لوضعية الهيمنة </w:t>
      </w:r>
    </w:p>
    <w:p w14:paraId="406702AB" w14:textId="77777777" w:rsidR="00777492" w:rsidRDefault="00777492" w:rsidP="00777492">
      <w:pPr>
        <w:pStyle w:val="ListParagraph"/>
        <w:tabs>
          <w:tab w:val="right" w:pos="849"/>
          <w:tab w:val="right" w:pos="1132"/>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xml:space="preserve">  ه- </w:t>
      </w:r>
      <w:r>
        <w:rPr>
          <w:rFonts w:ascii="Simplified Arabic" w:hAnsi="Simplified Arabic" w:cs="Simplified Arabic"/>
          <w:b/>
          <w:bCs/>
          <w:sz w:val="28"/>
          <w:szCs w:val="32"/>
          <w:rtl/>
          <w:lang w:bidi="ar-DZ"/>
        </w:rPr>
        <w:t>الجزاءات المترتبة على التواطؤ:</w:t>
      </w:r>
    </w:p>
    <w:p w14:paraId="4ADE2FFD" w14:textId="77777777" w:rsidR="00777492" w:rsidRDefault="00777492" w:rsidP="00777492">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إذا تم إثبات وجود التواطؤ عن طريق اتفاق صريح أو سلوك منسق و إثبات إضراره و إمكانية إضراره بالمنافسة الحرة مع إثبات العاقة السببية بين هذه الممارسات و أثارها السلبية على حرية المنافسة في السوق .</w:t>
      </w:r>
      <w:r>
        <w:rPr>
          <w:rFonts w:ascii="Simplified Arabic" w:hAnsi="Simplified Arabic" w:cs="Simplified Arabic"/>
          <w:b/>
          <w:bCs/>
          <w:sz w:val="28"/>
          <w:szCs w:val="32"/>
          <w:rtl/>
          <w:lang w:bidi="ar-DZ"/>
        </w:rPr>
        <w:t xml:space="preserve"> ف</w:t>
      </w:r>
      <w:r>
        <w:rPr>
          <w:rFonts w:ascii="Simplified Arabic" w:hAnsi="Simplified Arabic" w:cs="Simplified Arabic"/>
          <w:sz w:val="28"/>
          <w:szCs w:val="32"/>
          <w:rtl/>
          <w:lang w:bidi="ar-DZ"/>
        </w:rPr>
        <w:t>يترتب على إثبات وجود التواطؤ توقيع الجزاءات التالية:</w:t>
      </w:r>
    </w:p>
    <w:p w14:paraId="48E3DCE5" w14:textId="77777777" w:rsidR="00777492" w:rsidRDefault="00777492" w:rsidP="00777492">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-غرامة لا تفوق 12</w:t>
      </w:r>
      <w:r>
        <w:rPr>
          <w:rFonts w:ascii="Simplified Arabic" w:hAnsi="Simplified Arabic" w:cs="Simplified Arabic"/>
          <w:sz w:val="28"/>
          <w:szCs w:val="32"/>
          <w:lang w:bidi="ar-DZ"/>
        </w:rPr>
        <w:t>%</w:t>
      </w:r>
      <w:r>
        <w:rPr>
          <w:rFonts w:ascii="Simplified Arabic" w:hAnsi="Simplified Arabic" w:cs="Simplified Arabic"/>
          <w:sz w:val="28"/>
          <w:szCs w:val="32"/>
          <w:rtl/>
          <w:lang w:bidi="ar-DZ"/>
        </w:rPr>
        <w:t xml:space="preserve"> من مبلغ رقم الأعمال من غير الرسوم المحقق في الجزائر خلال آخر سنة مالية مختتمة. </w:t>
      </w:r>
      <w:r>
        <w:rPr>
          <w:rStyle w:val="FootnoteReference"/>
          <w:rFonts w:ascii="Simplified Arabic" w:hAnsi="Simplified Arabic" w:cs="Simplified Arabic"/>
          <w:sz w:val="28"/>
          <w:szCs w:val="32"/>
          <w:rtl/>
          <w:lang w:bidi="ar-DZ"/>
        </w:rPr>
        <w:footnoteReference w:id="9"/>
      </w:r>
      <w:r>
        <w:rPr>
          <w:rFonts w:ascii="Simplified Arabic" w:hAnsi="Simplified Arabic" w:cs="Simplified Arabic"/>
          <w:sz w:val="28"/>
          <w:szCs w:val="32"/>
          <w:rtl/>
          <w:lang w:bidi="ar-DZ"/>
        </w:rPr>
        <w:t>أو غرامة مالية تساوي على الأقل ضعفي الربح المحقق بواسطة هذه الممارسات على ألا تتجاوز هذه الغرامة 04 أضعاف هذا الربح وإذا كان مرتكب المخالفة لا يملك رقم أعمال محدد فالغرامة لا تتجاوز ستة ملايين دينار( دج6.000.000)</w:t>
      </w:r>
    </w:p>
    <w:p w14:paraId="689E0AD1" w14:textId="77777777" w:rsidR="00777492" w:rsidRDefault="00777492" w:rsidP="00777492">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xml:space="preserve"> و في حالة ما إذا كانت كل السنوات المقفلة التي من المفروض تحدد على أساسها الغرامات لا تغطي كل منها مدة سنة مالية فانه يتم حساب العقوبات المالية على أساس قيمة رقم الاعمال من غير الرسوم المحقق في الجزائر خلال مدة النشاط حسب المادة 62 مكرر  من قانون المنافسة .</w:t>
      </w:r>
    </w:p>
    <w:p w14:paraId="1211D4A9" w14:textId="77777777" w:rsidR="00777492" w:rsidRDefault="00777492" w:rsidP="00777492">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حددت المادة 62 مكرر1  المعايير التي على أساس يقدر مجلس المنافسة الغرامات و هي : خطورة الممارسة المرتكبة و الضرر الذي لحق بالاقتصاد و الفوائد المجمعة من طرف مرتكبي المخالفة و مدى تعاون المؤسسات مع مجلس المنافسة خلال التحقيق في القضية و أهمية وضعية المؤسسة المعنية في السوق .</w:t>
      </w:r>
    </w:p>
    <w:p w14:paraId="51181DFA" w14:textId="77777777" w:rsidR="00777492" w:rsidRDefault="00777492" w:rsidP="00777492">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و يمكن لمجلس المنافسة في حالة عدم تنفيذ الاوامر الصادرة عنه أن يحكم بغرامة تهديدية لا تقل عن مائة و خمسين ألف دينار (150.000دج ) عن كل يوم تأخير و ذلك حسب المادة 58 من قانون المنافسة .  </w:t>
      </w:r>
      <w:r>
        <w:rPr>
          <w:rStyle w:val="FootnoteReference"/>
          <w:rFonts w:ascii="Simplified Arabic" w:hAnsi="Simplified Arabic" w:cs="Simplified Arabic"/>
          <w:sz w:val="28"/>
          <w:szCs w:val="32"/>
          <w:rtl/>
          <w:lang w:bidi="ar-DZ"/>
        </w:rPr>
        <w:footnoteReference w:id="10"/>
      </w:r>
    </w:p>
    <w:p w14:paraId="2542DDB5" w14:textId="77777777" w:rsidR="00777492" w:rsidRDefault="00777492" w:rsidP="00777492">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كذلك يعاقب بغرامة قدرها مليوني دينار (2.000.000دج) كل شخص طبيعي ساهم شخصيا بصفة احتيالية في تنظيم الممارسات المقيدة للمنافسة وفي تنفيذها . فهذه العقوبة تخص كل من ساهم في إبرام اتفاق التواطؤ و لو لم يكن طرفا فيه.</w:t>
      </w:r>
    </w:p>
    <w:p w14:paraId="11403316" w14:textId="77777777" w:rsidR="00777492" w:rsidRDefault="00777492" w:rsidP="00777492">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كما منح المشرع لمجلس المنافسة إمكانية تخفيض مبلغ الغرامة أو عدم الحكم بها ضد المؤسسات التي اعترفت بالمخالفات المنسوبة إليها أثناء التحقيق و تتعاون في الاسراع بالتحقيق فيها و تتعهد بعدم ارتكاب ممارسات مقيدة للمنافسة في المستقبل و ذلك حسب نص الفقرة 1 من المادة 60 من قانون المنافسة .و أكد المشرع على أن هذا الاعفاء أو التخفيض لا تستفيد منه المؤسسات في حالة العود و ذلك حسب نص الفقرة 2 من نفس المادة.</w:t>
      </w:r>
    </w:p>
    <w:p w14:paraId="3289C033" w14:textId="77777777" w:rsidR="00A27643" w:rsidRDefault="00A27643" w:rsidP="00777492">
      <w:pPr>
        <w:bidi/>
        <w:rPr>
          <w:lang w:bidi="ar-DZ"/>
        </w:rPr>
      </w:pPr>
    </w:p>
    <w:sectPr w:rsidR="00A276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02DCA" w14:textId="77777777" w:rsidR="00100CB1" w:rsidRDefault="00100CB1" w:rsidP="00777492">
      <w:pPr>
        <w:spacing w:after="0" w:line="240" w:lineRule="auto"/>
      </w:pPr>
      <w:r>
        <w:separator/>
      </w:r>
    </w:p>
  </w:endnote>
  <w:endnote w:type="continuationSeparator" w:id="0">
    <w:p w14:paraId="0CEBD355" w14:textId="77777777" w:rsidR="00100CB1" w:rsidRDefault="00100CB1" w:rsidP="0077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D6F81" w14:textId="77777777" w:rsidR="00100CB1" w:rsidRDefault="00100CB1" w:rsidP="00777492">
      <w:pPr>
        <w:spacing w:after="0" w:line="240" w:lineRule="auto"/>
      </w:pPr>
      <w:r>
        <w:separator/>
      </w:r>
    </w:p>
  </w:footnote>
  <w:footnote w:type="continuationSeparator" w:id="0">
    <w:p w14:paraId="122C6082" w14:textId="77777777" w:rsidR="00100CB1" w:rsidRDefault="00100CB1" w:rsidP="00777492">
      <w:pPr>
        <w:spacing w:after="0" w:line="240" w:lineRule="auto"/>
      </w:pPr>
      <w:r>
        <w:continuationSeparator/>
      </w:r>
    </w:p>
  </w:footnote>
  <w:footnote w:id="1">
    <w:p w14:paraId="66F48DA9" w14:textId="77777777" w:rsidR="00777492" w:rsidRDefault="00777492" w:rsidP="00777492">
      <w:pPr>
        <w:pStyle w:val="FootnoteText"/>
        <w:bidi/>
        <w:rPr>
          <w:rtl/>
          <w:lang w:bidi="ar-DZ"/>
        </w:rPr>
      </w:pPr>
      <w:r>
        <w:rPr>
          <w:rStyle w:val="FootnoteReference"/>
          <w:rtl/>
        </w:rPr>
        <w:t>-</w:t>
      </w:r>
      <w:r>
        <w:rPr>
          <w:rtl/>
        </w:rPr>
        <w:t xml:space="preserve"> أنظر قاموس مرشد الطلاب عري-عربي.</w:t>
      </w:r>
    </w:p>
  </w:footnote>
  <w:footnote w:id="2">
    <w:p w14:paraId="4EEB6EDA" w14:textId="77777777" w:rsidR="00777492" w:rsidRDefault="00777492" w:rsidP="00777492">
      <w:pPr>
        <w:pStyle w:val="FootnoteText"/>
        <w:bidi/>
        <w:rPr>
          <w:rtl/>
          <w:lang w:bidi="ar-DZ"/>
        </w:rPr>
      </w:pPr>
      <w:r>
        <w:rPr>
          <w:rtl/>
        </w:rPr>
        <w:t>-</w:t>
      </w:r>
      <w:r>
        <w:rPr>
          <w:rStyle w:val="FootnoteReference"/>
        </w:rPr>
        <w:footnoteRef/>
      </w:r>
      <w:r>
        <w:t xml:space="preserve"> </w:t>
      </w:r>
      <w:r>
        <w:rPr>
          <w:rtl/>
        </w:rPr>
        <w:t>-لينا حسن ذكي ، المرجع السابق ، ص41.</w:t>
      </w:r>
    </w:p>
  </w:footnote>
  <w:footnote w:id="3">
    <w:p w14:paraId="39086E99" w14:textId="77777777" w:rsidR="00777492" w:rsidRDefault="00777492" w:rsidP="00777492">
      <w:pPr>
        <w:pStyle w:val="FootnoteText"/>
        <w:jc w:val="right"/>
        <w:rPr>
          <w:rtl/>
          <w:lang w:bidi="ar-DZ"/>
        </w:rPr>
      </w:pPr>
      <w:r>
        <w:rPr>
          <w:rtl/>
        </w:rPr>
        <w:t>- د- محمد حسين فتحي ، المرجع السابق ، ص 74.</w:t>
      </w:r>
      <w:r>
        <w:rPr>
          <w:rStyle w:val="FootnoteReference"/>
        </w:rPr>
        <w:footnoteRef/>
      </w:r>
      <w:r>
        <w:t xml:space="preserve"> </w:t>
      </w:r>
    </w:p>
  </w:footnote>
  <w:footnote w:id="4">
    <w:p w14:paraId="1387AF6A" w14:textId="77777777" w:rsidR="00777492" w:rsidRDefault="00777492" w:rsidP="00777492">
      <w:pPr>
        <w:pStyle w:val="FootnoteText"/>
        <w:jc w:val="right"/>
        <w:rPr>
          <w:rtl/>
          <w:lang w:bidi="ar-DZ"/>
        </w:rPr>
      </w:pPr>
      <w:r>
        <w:rPr>
          <w:rtl/>
        </w:rPr>
        <w:t>- لينا حسن ذكي  ،  المرجع السابق  ،  ص 201 .</w:t>
      </w:r>
      <w:r>
        <w:rPr>
          <w:rStyle w:val="FootnoteReference"/>
        </w:rPr>
        <w:footnoteRef/>
      </w:r>
      <w:r>
        <w:t xml:space="preserve"> </w:t>
      </w:r>
    </w:p>
  </w:footnote>
  <w:footnote w:id="5">
    <w:p w14:paraId="57612217" w14:textId="77777777" w:rsidR="00777492" w:rsidRDefault="00777492" w:rsidP="00777492">
      <w:pPr>
        <w:pStyle w:val="FootnoteText"/>
        <w:bidi/>
        <w:rPr>
          <w:rtl/>
          <w:lang w:bidi="ar-DZ"/>
        </w:rPr>
      </w:pPr>
      <w:r>
        <w:rPr>
          <w:rStyle w:val="FootnoteReference"/>
        </w:rPr>
        <w:footnoteRef/>
      </w:r>
      <w:r>
        <w:t xml:space="preserve"> </w:t>
      </w:r>
      <w:r>
        <w:rPr>
          <w:rtl/>
          <w:lang w:bidi="ar-DZ"/>
        </w:rPr>
        <w:t>- عبد الناصر فتحي الجلوي محمد ، المرجع السابق ، ص78.</w:t>
      </w:r>
    </w:p>
  </w:footnote>
  <w:footnote w:id="6">
    <w:p w14:paraId="4465A91E" w14:textId="77777777" w:rsidR="00777492" w:rsidRDefault="00777492" w:rsidP="00777492">
      <w:pPr>
        <w:pStyle w:val="FootnoteText"/>
        <w:bidi/>
        <w:rPr>
          <w:rtl/>
          <w:lang w:bidi="ar-DZ"/>
        </w:rPr>
      </w:pPr>
      <w:r>
        <w:rPr>
          <w:rStyle w:val="FootnoteReference"/>
        </w:rPr>
        <w:footnoteRef/>
      </w:r>
      <w:r>
        <w:t xml:space="preserve"> </w:t>
      </w:r>
      <w:r>
        <w:rPr>
          <w:rtl/>
        </w:rPr>
        <w:t xml:space="preserve">- </w:t>
      </w:r>
      <w:r>
        <w:rPr>
          <w:rtl/>
          <w:lang w:bidi="ar-DZ"/>
        </w:rPr>
        <w:t>عبد الناصر فتحي الجلوي محمد،</w:t>
      </w:r>
      <w:r>
        <w:rPr>
          <w:rtl/>
        </w:rPr>
        <w:t xml:space="preserve"> المرجع السابق ، ص92.</w:t>
      </w:r>
    </w:p>
  </w:footnote>
  <w:footnote w:id="7">
    <w:p w14:paraId="0B15B8CC" w14:textId="77777777" w:rsidR="00777492" w:rsidRDefault="00777492" w:rsidP="00777492">
      <w:pPr>
        <w:pStyle w:val="FootnoteText"/>
        <w:jc w:val="right"/>
        <w:rPr>
          <w:rtl/>
          <w:lang w:bidi="ar-DZ"/>
        </w:rPr>
      </w:pPr>
      <w:r>
        <w:rPr>
          <w:rtl/>
        </w:rPr>
        <w:t>- محمد حسين فتحي ، المرجع السابق ، ص20.</w:t>
      </w:r>
      <w:r>
        <w:rPr>
          <w:rStyle w:val="FootnoteReference"/>
        </w:rPr>
        <w:footnoteRef/>
      </w:r>
      <w:r>
        <w:t xml:space="preserve"> </w:t>
      </w:r>
    </w:p>
  </w:footnote>
  <w:footnote w:id="8">
    <w:p w14:paraId="5B5F15DE" w14:textId="77777777" w:rsidR="00777492" w:rsidRDefault="00777492" w:rsidP="00777492">
      <w:pPr>
        <w:pStyle w:val="FootnoteText"/>
        <w:bidi/>
        <w:rPr>
          <w:rFonts w:asciiTheme="minorBidi" w:hAnsiTheme="minorBidi" w:cstheme="minorBidi"/>
          <w:rtl/>
          <w:lang w:bidi="ar-DZ"/>
        </w:rPr>
      </w:pPr>
      <w:r>
        <w:rPr>
          <w:rStyle w:val="FootnoteReference"/>
        </w:rPr>
        <w:footnoteRef/>
      </w:r>
      <w:r>
        <w:t xml:space="preserve"> </w:t>
      </w:r>
      <w:r>
        <w:rPr>
          <w:rFonts w:asciiTheme="minorBidi" w:hAnsiTheme="minorBidi" w:cstheme="minorBidi"/>
        </w:rPr>
        <w:t>-</w:t>
      </w:r>
      <w:r>
        <w:rPr>
          <w:rFonts w:asciiTheme="minorBidi" w:hAnsiTheme="minorBidi" w:cstheme="minorBidi"/>
          <w:rtl/>
        </w:rPr>
        <w:t>-</w:t>
      </w:r>
      <w:r>
        <w:rPr>
          <w:rFonts w:asciiTheme="minorBidi" w:hAnsiTheme="minorBidi" w:cstheme="minorBidi"/>
          <w:rtl/>
          <w:lang w:bidi="ar-DZ"/>
        </w:rPr>
        <w:t xml:space="preserve"> المرسوم التنفيذي رقم 05-175 المؤرخ في 12 ماي 2005 المحدد لكيفيات الحصول على ترخيص بعدم التدخل بخصوص الاتفاقات ووضعية الهيمنة .الجريدة الرسمية عدد 35 لسنة 2005.</w:t>
      </w:r>
    </w:p>
  </w:footnote>
  <w:footnote w:id="9">
    <w:p w14:paraId="69D6C27B" w14:textId="77777777" w:rsidR="00777492" w:rsidRDefault="00777492" w:rsidP="00777492">
      <w:pPr>
        <w:pStyle w:val="FootnoteText"/>
        <w:bidi/>
        <w:rPr>
          <w:rFonts w:asciiTheme="minorBidi" w:hAnsiTheme="minorBidi" w:cstheme="minorBidi"/>
          <w:rtl/>
          <w:lang w:bidi="ar-DZ"/>
        </w:rPr>
      </w:pPr>
      <w:r>
        <w:rPr>
          <w:rtl/>
        </w:rPr>
        <w:t xml:space="preserve">- </w:t>
      </w:r>
      <w:r>
        <w:rPr>
          <w:rStyle w:val="FootnoteReference"/>
        </w:rPr>
        <w:footnoteRef/>
      </w:r>
      <w:r>
        <w:t xml:space="preserve"> </w:t>
      </w:r>
      <w:r>
        <w:rPr>
          <w:rtl/>
        </w:rPr>
        <w:t xml:space="preserve">- حدد قانون 03-03 مبلغ </w:t>
      </w:r>
      <w:r>
        <w:rPr>
          <w:rFonts w:asciiTheme="minorBidi" w:hAnsiTheme="minorBidi" w:cstheme="minorBidi"/>
          <w:rtl/>
        </w:rPr>
        <w:t xml:space="preserve">الغرامة ب 7 </w:t>
      </w:r>
      <w:r>
        <w:rPr>
          <w:rFonts w:asciiTheme="minorBidi" w:hAnsiTheme="minorBidi" w:cstheme="minorBidi"/>
          <w:lang w:bidi="ar-DZ"/>
        </w:rPr>
        <w:t>%</w:t>
      </w:r>
      <w:r>
        <w:rPr>
          <w:rFonts w:asciiTheme="minorBidi" w:hAnsiTheme="minorBidi" w:cstheme="minorBidi"/>
          <w:rtl/>
          <w:lang w:bidi="ar-DZ"/>
        </w:rPr>
        <w:t xml:space="preserve"> </w:t>
      </w:r>
      <w:r>
        <w:rPr>
          <w:rFonts w:asciiTheme="minorBidi" w:hAnsiTheme="minorBidi" w:cstheme="minorBidi" w:hint="cs"/>
          <w:rtl/>
          <w:lang w:bidi="ar-DZ"/>
        </w:rPr>
        <w:t xml:space="preserve"> في خدود 3.000.000دج و في تعديل 2008 رفعت إلى 12 </w:t>
      </w:r>
      <w:r>
        <w:rPr>
          <w:rFonts w:asciiTheme="minorBidi" w:hAnsiTheme="minorBidi" w:cstheme="minorBidi"/>
          <w:lang w:bidi="ar-DZ"/>
        </w:rPr>
        <w:t>%</w:t>
      </w:r>
      <w:r>
        <w:rPr>
          <w:rFonts w:asciiTheme="minorBidi" w:hAnsiTheme="minorBidi" w:cstheme="minorBidi"/>
          <w:rtl/>
          <w:lang w:bidi="ar-DZ"/>
        </w:rPr>
        <w:t xml:space="preserve"> و ذلك في حدود 6.000.000دج..</w:t>
      </w:r>
    </w:p>
  </w:footnote>
  <w:footnote w:id="10">
    <w:p w14:paraId="6EEFEAE8" w14:textId="77777777" w:rsidR="00777492" w:rsidRDefault="00777492" w:rsidP="00777492">
      <w:pPr>
        <w:pStyle w:val="FootnoteText"/>
        <w:bidi/>
        <w:rPr>
          <w:rtl/>
          <w:lang w:bidi="ar-DZ"/>
        </w:rPr>
      </w:pPr>
      <w:r>
        <w:rPr>
          <w:rStyle w:val="FootnoteReference"/>
        </w:rPr>
        <w:footnoteRef/>
      </w:r>
      <w:r>
        <w:t xml:space="preserve"> </w:t>
      </w:r>
      <w:r>
        <w:rPr>
          <w:rtl/>
        </w:rPr>
        <w:t>- حدد قانون 03-03 مبلغ الغرامة ب 100.000دج و في تعديل 2008 رفعت إلى 150.000دج.</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A805CC"/>
    <w:multiLevelType w:val="hybridMultilevel"/>
    <w:tmpl w:val="DAD6F690"/>
    <w:lvl w:ilvl="0" w:tplc="B854E4C8">
      <w:start w:val="1"/>
      <w:numFmt w:val="bullet"/>
      <w:lvlText w:val="-"/>
      <w:lvlJc w:val="left"/>
      <w:pPr>
        <w:ind w:left="927" w:hanging="360"/>
      </w:pPr>
      <w:rPr>
        <w:rFonts w:ascii="Simplified Arabic" w:eastAsia="Calibri" w:hAnsi="Simplified Arabic" w:cs="Simplified Arabic" w:hint="default"/>
        <w:b/>
        <w:bCs w:val="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5786841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1917"/>
    <w:rsid w:val="00100CB1"/>
    <w:rsid w:val="001718E4"/>
    <w:rsid w:val="00471CA8"/>
    <w:rsid w:val="006A3189"/>
    <w:rsid w:val="00777492"/>
    <w:rsid w:val="009E1917"/>
    <w:rsid w:val="00A276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AD11"/>
  <w15:chartTrackingRefBased/>
  <w15:docId w15:val="{77CA9B1B-4E91-49CD-9426-9D2C5164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492"/>
    <w:pPr>
      <w:spacing w:after="200" w:line="276" w:lineRule="auto"/>
    </w:pPr>
    <w:rPr>
      <w:rFonts w:ascii="Calibri" w:eastAsia="Calibri" w:hAnsi="Calibri" w:cs="Arial"/>
      <w:kern w:val="0"/>
      <w:sz w:val="22"/>
      <w:szCs w:val="22"/>
    </w:rPr>
  </w:style>
  <w:style w:type="paragraph" w:styleId="Heading1">
    <w:name w:val="heading 1"/>
    <w:basedOn w:val="Normal"/>
    <w:next w:val="Normal"/>
    <w:link w:val="Heading1Char"/>
    <w:uiPriority w:val="9"/>
    <w:qFormat/>
    <w:rsid w:val="009E1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917"/>
    <w:rPr>
      <w:rFonts w:eastAsiaTheme="majorEastAsia" w:cstheme="majorBidi"/>
      <w:color w:val="272727" w:themeColor="text1" w:themeTint="D8"/>
    </w:rPr>
  </w:style>
  <w:style w:type="paragraph" w:styleId="Title">
    <w:name w:val="Title"/>
    <w:basedOn w:val="Normal"/>
    <w:next w:val="Normal"/>
    <w:link w:val="TitleChar"/>
    <w:uiPriority w:val="10"/>
    <w:qFormat/>
    <w:rsid w:val="009E1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917"/>
    <w:pPr>
      <w:spacing w:before="160"/>
      <w:jc w:val="center"/>
    </w:pPr>
    <w:rPr>
      <w:i/>
      <w:iCs/>
      <w:color w:val="404040" w:themeColor="text1" w:themeTint="BF"/>
    </w:rPr>
  </w:style>
  <w:style w:type="character" w:customStyle="1" w:styleId="QuoteChar">
    <w:name w:val="Quote Char"/>
    <w:basedOn w:val="DefaultParagraphFont"/>
    <w:link w:val="Quote"/>
    <w:uiPriority w:val="29"/>
    <w:rsid w:val="009E1917"/>
    <w:rPr>
      <w:i/>
      <w:iCs/>
      <w:color w:val="404040" w:themeColor="text1" w:themeTint="BF"/>
    </w:rPr>
  </w:style>
  <w:style w:type="paragraph" w:styleId="ListParagraph">
    <w:name w:val="List Paragraph"/>
    <w:basedOn w:val="Normal"/>
    <w:uiPriority w:val="34"/>
    <w:qFormat/>
    <w:rsid w:val="009E1917"/>
    <w:pPr>
      <w:ind w:left="720"/>
      <w:contextualSpacing/>
    </w:pPr>
  </w:style>
  <w:style w:type="character" w:styleId="IntenseEmphasis">
    <w:name w:val="Intense Emphasis"/>
    <w:basedOn w:val="DefaultParagraphFont"/>
    <w:uiPriority w:val="21"/>
    <w:qFormat/>
    <w:rsid w:val="009E1917"/>
    <w:rPr>
      <w:i/>
      <w:iCs/>
      <w:color w:val="0F4761" w:themeColor="accent1" w:themeShade="BF"/>
    </w:rPr>
  </w:style>
  <w:style w:type="paragraph" w:styleId="IntenseQuote">
    <w:name w:val="Intense Quote"/>
    <w:basedOn w:val="Normal"/>
    <w:next w:val="Normal"/>
    <w:link w:val="IntenseQuoteChar"/>
    <w:uiPriority w:val="30"/>
    <w:qFormat/>
    <w:rsid w:val="009E1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917"/>
    <w:rPr>
      <w:i/>
      <w:iCs/>
      <w:color w:val="0F4761" w:themeColor="accent1" w:themeShade="BF"/>
    </w:rPr>
  </w:style>
  <w:style w:type="character" w:styleId="IntenseReference">
    <w:name w:val="Intense Reference"/>
    <w:basedOn w:val="DefaultParagraphFont"/>
    <w:uiPriority w:val="32"/>
    <w:qFormat/>
    <w:rsid w:val="009E1917"/>
    <w:rPr>
      <w:b/>
      <w:bCs/>
      <w:smallCaps/>
      <w:color w:val="0F4761" w:themeColor="accent1" w:themeShade="BF"/>
      <w:spacing w:val="5"/>
    </w:rPr>
  </w:style>
  <w:style w:type="paragraph" w:styleId="FootnoteText">
    <w:name w:val="footnote text"/>
    <w:basedOn w:val="Normal"/>
    <w:link w:val="FootnoteTextChar"/>
    <w:uiPriority w:val="99"/>
    <w:semiHidden/>
    <w:unhideWhenUsed/>
    <w:rsid w:val="00777492"/>
    <w:rPr>
      <w:sz w:val="20"/>
      <w:szCs w:val="20"/>
    </w:rPr>
  </w:style>
  <w:style w:type="character" w:customStyle="1" w:styleId="FootnoteTextChar">
    <w:name w:val="Footnote Text Char"/>
    <w:basedOn w:val="DefaultParagraphFont"/>
    <w:link w:val="FootnoteText"/>
    <w:uiPriority w:val="99"/>
    <w:semiHidden/>
    <w:rsid w:val="00777492"/>
    <w:rPr>
      <w:rFonts w:ascii="Calibri" w:eastAsia="Calibri" w:hAnsi="Calibri" w:cs="Arial"/>
      <w:kern w:val="0"/>
      <w:sz w:val="20"/>
      <w:szCs w:val="20"/>
    </w:rPr>
  </w:style>
  <w:style w:type="character" w:styleId="FootnoteReference">
    <w:name w:val="footnote reference"/>
    <w:basedOn w:val="DefaultParagraphFont"/>
    <w:uiPriority w:val="99"/>
    <w:semiHidden/>
    <w:unhideWhenUsed/>
    <w:rsid w:val="007774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2103</Words>
  <Characters>11572</Characters>
  <Application>Microsoft Office Word</Application>
  <DocSecurity>0</DocSecurity>
  <Lines>96</Lines>
  <Paragraphs>27</Paragraphs>
  <ScaleCrop>false</ScaleCrop>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achraf dd</dc:creator>
  <cp:keywords/>
  <dc:description/>
  <cp:lastModifiedBy>achraf dd</cp:lastModifiedBy>
  <cp:revision>2</cp:revision>
  <dcterms:created xsi:type="dcterms:W3CDTF">2024-11-09T09:57:00Z</dcterms:created>
  <dcterms:modified xsi:type="dcterms:W3CDTF">2024-11-09T10:00:00Z</dcterms:modified>
</cp:coreProperties>
</file>