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298D" w:rsidRPr="00C1298D" w:rsidRDefault="00CC0C06" w:rsidP="00C1298D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455743</wp:posOffset>
                </wp:positionH>
                <wp:positionV relativeFrom="paragraph">
                  <wp:posOffset>-11878</wp:posOffset>
                </wp:positionV>
                <wp:extent cx="5737412" cy="1264023"/>
                <wp:effectExtent l="0" t="0" r="15875" b="19050"/>
                <wp:wrapNone/>
                <wp:docPr id="506962268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412" cy="1264023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98D" w:rsidRPr="00C1298D" w:rsidRDefault="00C1298D" w:rsidP="00C1298D">
                            <w:pPr>
                              <w:spacing w:before="120"/>
                              <w:jc w:val="center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298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كلية العلوم الاقتصادية والتجارية وعلوم التسيير</w:t>
                            </w:r>
                          </w:p>
                          <w:p w:rsidR="00C1298D" w:rsidRDefault="00C1298D" w:rsidP="00C1298D">
                            <w:pPr>
                              <w:spacing w:before="12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298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قسم العلوم الاقتصادية                                       السنة الثالثة تخصص: الاقتصاد النقدي والمالي</w:t>
                            </w:r>
                          </w:p>
                          <w:p w:rsidR="00330E75" w:rsidRPr="00C1298D" w:rsidRDefault="00330E75" w:rsidP="00330E75">
                            <w:pPr>
                              <w:bidi/>
                              <w:spacing w:before="120"/>
                              <w:jc w:val="both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C9177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مقياس: التسيير المالي                                        </w:t>
                            </w:r>
                            <w:r w:rsidR="00C9177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الأستاذة: سامية بعيسي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5" o:spid="_x0000_s1026" style="position:absolute;margin-left:35.9pt;margin-top:-.95pt;width:451.75pt;height:9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" fillcolor="#00b0f0" strokecolor="#09101d [484]" strokeweight="1pt">
                <v:stroke joinstyle="miter"/>
                <v:textbox>
                  <w:txbxContent>
                    <w:p w:rsidR="00C1298D" w:rsidRPr="00C1298D" w:rsidRDefault="00C1298D" w:rsidP="00C1298D">
                      <w:pPr>
                        <w:spacing w:before="120"/>
                        <w:jc w:val="center"/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1298D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كلية العلوم الاقتصادية والتجارية وعلوم التسيير</w:t>
                      </w:r>
                    </w:p>
                    <w:p w:rsidR="00C1298D" w:rsidRDefault="00C1298D" w:rsidP="00C1298D">
                      <w:pPr>
                        <w:spacing w:before="12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1298D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قسم العلوم الاقتصادية                                       السنة الثالثة تخصص: الاقتصاد النقدي والمالي</w:t>
                      </w:r>
                    </w:p>
                    <w:p w:rsidR="00330E75" w:rsidRPr="00C1298D" w:rsidRDefault="00330E75" w:rsidP="00330E75">
                      <w:pPr>
                        <w:bidi/>
                        <w:spacing w:before="120"/>
                        <w:jc w:val="both"/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C9177D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مقياس: التسيير المالي                                        </w:t>
                      </w:r>
                      <w:r w:rsidR="00C9177D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الأستاذة: سامية بعيسي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298D" w:rsidRPr="00C1298D" w:rsidRDefault="00C1298D" w:rsidP="00C1298D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C1298D" w:rsidRPr="00C1298D" w:rsidRDefault="00C1298D" w:rsidP="00C1298D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C1298D" w:rsidRPr="00C1298D" w:rsidRDefault="00C1298D" w:rsidP="00C129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</w:pPr>
      <w:r w:rsidRPr="00C1298D">
        <w:rPr>
          <w:rFonts w:ascii="Traditional Arabic,Bold" w:eastAsia="Times New Roman" w:hAnsi="Traditional Arabic,Bold" w:cs="Times New Roman"/>
          <w:color w:val="FFFFFF"/>
          <w:kern w:val="0"/>
          <w:sz w:val="32"/>
          <w:szCs w:val="32"/>
          <w:rtl/>
          <w:lang w:eastAsia="fr-FR"/>
          <w14:ligatures w14:val="none"/>
        </w:rPr>
        <w:t>السداسي</w:t>
      </w:r>
      <w:r w:rsidRPr="00C1298D">
        <w:rPr>
          <w:rFonts w:ascii="Traditional Arabic,Bold" w:eastAsia="Times New Roman" w:hAnsi="Traditional Arabic,Bold" w:cs="Times New Roman"/>
          <w:color w:val="FFFFFF"/>
          <w:kern w:val="0"/>
          <w:sz w:val="32"/>
          <w:szCs w:val="32"/>
          <w:lang w:eastAsia="fr-FR"/>
          <w14:ligatures w14:val="none"/>
        </w:rPr>
        <w:t>:</w:t>
      </w:r>
      <w:r w:rsidRPr="00C1298D">
        <w:rPr>
          <w:rFonts w:ascii="Traditional Arabic" w:eastAsia="Times New Roman" w:hAnsi="Traditional Arabic" w:cs="Traditional Arabic" w:hint="cs"/>
          <w:color w:val="FFFFFF"/>
          <w:kern w:val="0"/>
          <w:sz w:val="32"/>
          <w:szCs w:val="32"/>
          <w:lang w:eastAsia="fr-FR"/>
          <w14:ligatures w14:val="none"/>
        </w:rPr>
        <w:t xml:space="preserve"> </w:t>
      </w:r>
      <w:r w:rsidRPr="00C1298D">
        <w:rPr>
          <w:rFonts w:ascii="Traditional Arabic" w:eastAsia="Times New Roman" w:hAnsi="Traditional Arabic" w:cs="Traditional Arabic" w:hint="cs"/>
          <w:color w:val="FFFFFF"/>
          <w:kern w:val="0"/>
          <w:sz w:val="32"/>
          <w:szCs w:val="32"/>
          <w:rtl/>
          <w:lang w:eastAsia="fr-FR"/>
          <w14:ligatures w14:val="none"/>
        </w:rPr>
        <w:t xml:space="preserve">الثاني </w:t>
      </w:r>
    </w:p>
    <w:p w:rsidR="00330E75" w:rsidRPr="00330E75" w:rsidRDefault="00330E75" w:rsidP="00330E75">
      <w:pPr>
        <w:bidi/>
        <w:spacing w:before="100" w:beforeAutospacing="1" w:after="100" w:afterAutospacing="1"/>
        <w:jc w:val="center"/>
        <w:rPr>
          <w:rFonts w:ascii="Traditional Arabic,Bold" w:eastAsia="Times New Roman" w:hAnsi="Traditional Arabic,Bold" w:cs="Times New Roman"/>
          <w:color w:val="000000" w:themeColor="text1"/>
          <w:kern w:val="0"/>
          <w:sz w:val="32"/>
          <w:szCs w:val="32"/>
          <w:rtl/>
          <w:lang w:eastAsia="fr-FR"/>
          <w14:ligatures w14:val="none"/>
        </w:rPr>
      </w:pPr>
    </w:p>
    <w:p w:rsidR="006906CB" w:rsidRPr="00C9177D" w:rsidRDefault="00330E75" w:rsidP="00330E75">
      <w:pPr>
        <w:bidi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fr-FR"/>
          <w14:ligatures w14:val="none"/>
        </w:rPr>
      </w:pPr>
      <w:r w:rsidRPr="00C9177D">
        <w:rPr>
          <w:rFonts w:ascii="Traditional Arabic" w:eastAsia="Times New Roman" w:hAnsi="Traditional Arabic" w:cs="Traditional Arabic" w:hint="cs"/>
          <w:b/>
          <w:bCs/>
          <w:color w:val="FFFF00"/>
          <w:kern w:val="0"/>
          <w:sz w:val="36"/>
          <w:szCs w:val="36"/>
          <w:shd w:val="clear" w:color="auto" w:fill="00B0F0"/>
          <w:rtl/>
          <w:lang w:eastAsia="fr-FR"/>
          <w14:ligatures w14:val="none"/>
        </w:rPr>
        <w:t>المقرر السنوي لمقياس التسيير المالي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7083"/>
        <w:gridCol w:w="2273"/>
      </w:tblGrid>
      <w:tr w:rsidR="00922F1B" w:rsidRPr="006906CB" w:rsidTr="00C9177D">
        <w:tc>
          <w:tcPr>
            <w:tcW w:w="9356" w:type="dxa"/>
            <w:gridSpan w:val="2"/>
            <w:shd w:val="clear" w:color="auto" w:fill="FFFFC4"/>
          </w:tcPr>
          <w:p w:rsidR="00922F1B" w:rsidRPr="00330E75" w:rsidRDefault="00922F1B" w:rsidP="006906CB">
            <w:pPr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تفصيــل البرنامـج</w:t>
            </w:r>
          </w:p>
        </w:tc>
      </w:tr>
      <w:tr w:rsidR="00922F1B" w:rsidRPr="006906CB" w:rsidTr="00C9177D">
        <w:tc>
          <w:tcPr>
            <w:tcW w:w="9356" w:type="dxa"/>
            <w:gridSpan w:val="2"/>
            <w:shd w:val="clear" w:color="auto" w:fill="00B0F0"/>
          </w:tcPr>
          <w:p w:rsidR="00922F1B" w:rsidRPr="00330E75" w:rsidRDefault="00922F1B" w:rsidP="006906CB">
            <w:pPr>
              <w:bidi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المحور الأول: مدخل إلى التسيير المالي</w:t>
            </w:r>
          </w:p>
        </w:tc>
      </w:tr>
      <w:tr w:rsidR="00922F1B" w:rsidRPr="006906CB" w:rsidTr="00C9177D">
        <w:tc>
          <w:tcPr>
            <w:tcW w:w="7083" w:type="dxa"/>
            <w:vAlign w:val="center"/>
          </w:tcPr>
          <w:p w:rsidR="00922F1B" w:rsidRPr="00BC4823" w:rsidRDefault="00922F1B" w:rsidP="00BC4823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shd w:val="clear" w:color="auto" w:fill="FFFFFF" w:themeFill="background1"/>
                <w:rtl/>
              </w:rPr>
              <w:t>مدخل إلى التسيير المالي</w:t>
            </w:r>
          </w:p>
        </w:tc>
        <w:tc>
          <w:tcPr>
            <w:tcW w:w="2273" w:type="dxa"/>
            <w:vAlign w:val="center"/>
          </w:tcPr>
          <w:p w:rsidR="00922F1B" w:rsidRPr="00330E75" w:rsidRDefault="00922F1B" w:rsidP="00BC4823">
            <w:pPr>
              <w:bidi/>
              <w:spacing w:before="100" w:beforeAutospacing="1" w:after="100" w:afterAutospacing="1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 الأول</w:t>
            </w:r>
          </w:p>
        </w:tc>
      </w:tr>
      <w:tr w:rsidR="00922F1B" w:rsidRPr="006906CB" w:rsidTr="00C9177D">
        <w:tc>
          <w:tcPr>
            <w:tcW w:w="9356" w:type="dxa"/>
            <w:gridSpan w:val="2"/>
            <w:shd w:val="clear" w:color="auto" w:fill="00B0F0"/>
            <w:vAlign w:val="center"/>
          </w:tcPr>
          <w:p w:rsidR="00922F1B" w:rsidRPr="00A96751" w:rsidRDefault="00A56406" w:rsidP="00A96751">
            <w:pPr>
              <w:bidi/>
              <w:ind w:left="849" w:hanging="991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967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المحور الثاني: </w:t>
            </w:r>
            <w:r w:rsidR="00BC482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Pr="00A967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تحليل </w:t>
            </w:r>
            <w:r w:rsidR="00BC482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المالي ل</w:t>
            </w:r>
            <w:r w:rsidRPr="00A967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لقوائم المالية (الميزانية المالية، حسابات النتائج</w:t>
            </w:r>
            <w:r w:rsidR="00337A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Pr="00A9675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جدول تدفقات الخزينة، جدول تغيرات الأموال الخاصة)</w:t>
            </w:r>
          </w:p>
        </w:tc>
      </w:tr>
      <w:tr w:rsidR="00922F1B" w:rsidRPr="006906CB" w:rsidTr="00C9177D">
        <w:tc>
          <w:tcPr>
            <w:tcW w:w="7083" w:type="dxa"/>
          </w:tcPr>
          <w:p w:rsidR="00922F1B" w:rsidRPr="004D0D00" w:rsidRDefault="004D0D00" w:rsidP="00A96751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</w:rPr>
            </w:pPr>
            <w:r w:rsidRPr="004D0D0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التحليل المالي: المفهوم، الأسس والتوازنات المالية</w:t>
            </w:r>
          </w:p>
        </w:tc>
        <w:tc>
          <w:tcPr>
            <w:tcW w:w="2273" w:type="dxa"/>
          </w:tcPr>
          <w:p w:rsidR="00922F1B" w:rsidRPr="00330E75" w:rsidRDefault="00922F1B" w:rsidP="006906CB">
            <w:pPr>
              <w:jc w:val="center"/>
              <w:rPr>
                <w:b/>
                <w:bCs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الثاني</w:t>
            </w:r>
          </w:p>
        </w:tc>
      </w:tr>
      <w:tr w:rsidR="00BC4823" w:rsidRPr="006906CB" w:rsidTr="00C9177D">
        <w:tc>
          <w:tcPr>
            <w:tcW w:w="7083" w:type="dxa"/>
          </w:tcPr>
          <w:p w:rsidR="00BC4823" w:rsidRPr="00A96751" w:rsidRDefault="00BC4823" w:rsidP="00BC4823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عرض و</w:t>
            </w:r>
            <w:r w:rsidR="00793C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تحليل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القوائم المالية: </w:t>
            </w:r>
            <w:r w:rsidRPr="00A52A3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الميزانية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المالية</w:t>
            </w:r>
            <w:r w:rsidRPr="00A52A3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الميزانية الوظيفية</w:t>
            </w:r>
            <w:r w:rsidRPr="00A52A3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73" w:type="dxa"/>
          </w:tcPr>
          <w:p w:rsidR="00BC4823" w:rsidRPr="00330E75" w:rsidRDefault="00BC4823" w:rsidP="00BC4823">
            <w:pPr>
              <w:jc w:val="center"/>
              <w:rPr>
                <w:b/>
                <w:bCs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الثالث</w:t>
            </w:r>
          </w:p>
        </w:tc>
      </w:tr>
      <w:tr w:rsidR="00BC4823" w:rsidRPr="006906CB" w:rsidTr="00C9177D">
        <w:tc>
          <w:tcPr>
            <w:tcW w:w="7083" w:type="dxa"/>
          </w:tcPr>
          <w:p w:rsidR="00BC4823" w:rsidRPr="006906CB" w:rsidRDefault="00793CBA" w:rsidP="00BC4823">
            <w:p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 w:hint="cs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28"/>
                <w:szCs w:val="28"/>
                <w:rtl/>
                <w:lang w:eastAsia="fr-FR"/>
                <w14:ligatures w14:val="none"/>
              </w:rPr>
              <w:t>دراسة التوازنات المالية باستخدام النسب المالية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73" w:type="dxa"/>
          </w:tcPr>
          <w:p w:rsidR="00BC4823" w:rsidRPr="00330E75" w:rsidRDefault="00BC4823" w:rsidP="00BC4823">
            <w:pPr>
              <w:jc w:val="center"/>
              <w:rPr>
                <w:b/>
                <w:bCs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الرابع</w:t>
            </w:r>
          </w:p>
        </w:tc>
      </w:tr>
      <w:tr w:rsidR="00BC4823" w:rsidRPr="006906CB" w:rsidTr="00C9177D">
        <w:tc>
          <w:tcPr>
            <w:tcW w:w="7083" w:type="dxa"/>
          </w:tcPr>
          <w:p w:rsidR="00BC4823" w:rsidRPr="00A96751" w:rsidRDefault="00793CBA" w:rsidP="00BC4823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عرض وتحليل القوائم المالية: جدول</w:t>
            </w:r>
            <w:r w:rsidRPr="00A52A3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حسابات النتائج (حسب الطبيعة والوظيفة)</w:t>
            </w:r>
          </w:p>
        </w:tc>
        <w:tc>
          <w:tcPr>
            <w:tcW w:w="2273" w:type="dxa"/>
          </w:tcPr>
          <w:p w:rsidR="00BC4823" w:rsidRPr="00330E75" w:rsidRDefault="00BC4823" w:rsidP="00BC4823">
            <w:pPr>
              <w:jc w:val="center"/>
              <w:rPr>
                <w:b/>
                <w:bCs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الخامس</w:t>
            </w:r>
          </w:p>
        </w:tc>
      </w:tr>
      <w:tr w:rsidR="00922F1B" w:rsidRPr="006906CB" w:rsidTr="00C9177D">
        <w:tc>
          <w:tcPr>
            <w:tcW w:w="7083" w:type="dxa"/>
          </w:tcPr>
          <w:p w:rsidR="00922F1B" w:rsidRPr="006906CB" w:rsidRDefault="00C9177D" w:rsidP="00922F1B">
            <w:p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 w:hint="cs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 وتحليل القوائم المالية: </w:t>
            </w:r>
            <w:r w:rsidRPr="00A52A3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جدول تدفقات الخزينة، جدول تغيرات</w:t>
            </w:r>
            <w:r w:rsidRPr="00A9675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A52A3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الأموال الخاصة</w:t>
            </w:r>
          </w:p>
        </w:tc>
        <w:tc>
          <w:tcPr>
            <w:tcW w:w="2273" w:type="dxa"/>
          </w:tcPr>
          <w:p w:rsidR="00922F1B" w:rsidRPr="00330E75" w:rsidRDefault="00922F1B" w:rsidP="006906CB">
            <w:pPr>
              <w:jc w:val="center"/>
              <w:rPr>
                <w:b/>
                <w:bCs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السادس</w:t>
            </w:r>
          </w:p>
        </w:tc>
      </w:tr>
      <w:tr w:rsidR="00C9177D" w:rsidRPr="006906CB" w:rsidTr="00C9177D">
        <w:tc>
          <w:tcPr>
            <w:tcW w:w="9356" w:type="dxa"/>
            <w:gridSpan w:val="2"/>
            <w:shd w:val="clear" w:color="auto" w:fill="00B0F0"/>
          </w:tcPr>
          <w:p w:rsidR="00C9177D" w:rsidRPr="00C9177D" w:rsidRDefault="00C9177D" w:rsidP="00C9177D">
            <w:pPr>
              <w:bidi/>
              <w:spacing w:before="100" w:beforeAutospacing="1"/>
              <w:jc w:val="center"/>
              <w:rPr>
                <w:rFonts w:ascii="Traditional Arabic" w:hAnsi="Traditional Arabic" w:cs="Traditional Arabic" w:hint="cs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المحور الثاني: </w:t>
            </w:r>
            <w:r w:rsidRPr="00C917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التخطي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ــ</w:t>
            </w:r>
            <w:r w:rsidRPr="00C917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 المال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ــ</w:t>
            </w:r>
            <w:r w:rsidRPr="00C917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922F1B" w:rsidRPr="006906CB" w:rsidTr="00C9177D">
        <w:tc>
          <w:tcPr>
            <w:tcW w:w="7083" w:type="dxa"/>
          </w:tcPr>
          <w:p w:rsidR="00922F1B" w:rsidRPr="006C7865" w:rsidRDefault="00C9177D" w:rsidP="006C7865">
            <w:p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 w:hint="cs"/>
                <w:kern w:val="0"/>
                <w:sz w:val="28"/>
                <w:szCs w:val="28"/>
                <w:rtl/>
                <w:lang w:val="en-US" w:eastAsia="fr-FR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28"/>
                <w:szCs w:val="28"/>
                <w:rtl/>
                <w:lang w:val="en-US" w:eastAsia="fr-FR"/>
                <w14:ligatures w14:val="none"/>
              </w:rPr>
              <w:t>عتبة المردودية واستخداماتها</w:t>
            </w:r>
          </w:p>
        </w:tc>
        <w:tc>
          <w:tcPr>
            <w:tcW w:w="2273" w:type="dxa"/>
          </w:tcPr>
          <w:p w:rsidR="00922F1B" w:rsidRPr="00330E75" w:rsidRDefault="00922F1B" w:rsidP="006906CB">
            <w:pPr>
              <w:jc w:val="center"/>
              <w:rPr>
                <w:b/>
                <w:bCs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السابع</w:t>
            </w:r>
          </w:p>
        </w:tc>
      </w:tr>
      <w:tr w:rsidR="00C9177D" w:rsidRPr="006906CB" w:rsidTr="00C9177D">
        <w:tc>
          <w:tcPr>
            <w:tcW w:w="7083" w:type="dxa"/>
          </w:tcPr>
          <w:p w:rsidR="00C9177D" w:rsidRPr="006906CB" w:rsidRDefault="00C9177D" w:rsidP="00C9177D">
            <w:p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 w:hint="cs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28"/>
                <w:szCs w:val="28"/>
                <w:rtl/>
                <w:lang w:eastAsia="fr-FR"/>
                <w14:ligatures w14:val="none"/>
              </w:rPr>
              <w:t>الرفع المالي والرفع التشغيلي</w:t>
            </w:r>
          </w:p>
        </w:tc>
        <w:tc>
          <w:tcPr>
            <w:tcW w:w="2273" w:type="dxa"/>
          </w:tcPr>
          <w:p w:rsidR="00C9177D" w:rsidRPr="00330E75" w:rsidRDefault="00C9177D" w:rsidP="00C9177D">
            <w:pPr>
              <w:bidi/>
              <w:jc w:val="center"/>
              <w:rPr>
                <w:b/>
                <w:bCs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الثامن</w:t>
            </w:r>
          </w:p>
        </w:tc>
      </w:tr>
      <w:tr w:rsidR="00C9177D" w:rsidRPr="006906CB" w:rsidTr="00C9177D">
        <w:tc>
          <w:tcPr>
            <w:tcW w:w="9356" w:type="dxa"/>
            <w:gridSpan w:val="2"/>
            <w:shd w:val="clear" w:color="auto" w:fill="00B0F0"/>
          </w:tcPr>
          <w:p w:rsidR="00C9177D" w:rsidRPr="00C9177D" w:rsidRDefault="00C9177D" w:rsidP="00C9177D">
            <w:pPr>
              <w:bidi/>
              <w:spacing w:before="100" w:beforeAutospacing="1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C917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00B0F0"/>
                <w:rtl/>
              </w:rPr>
              <w:t xml:space="preserve">المحور الثالث: </w:t>
            </w:r>
            <w:r w:rsidRPr="00C917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00B0F0"/>
                <w:rtl/>
              </w:rPr>
              <w:t>السياسة المالية والقرارات التمويلية</w:t>
            </w:r>
          </w:p>
        </w:tc>
      </w:tr>
      <w:tr w:rsidR="00C9177D" w:rsidRPr="006906CB" w:rsidTr="00C9177D">
        <w:tc>
          <w:tcPr>
            <w:tcW w:w="7083" w:type="dxa"/>
          </w:tcPr>
          <w:p w:rsidR="00C9177D" w:rsidRPr="00C9177D" w:rsidRDefault="00C9177D" w:rsidP="00C917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</w:rPr>
            </w:pPr>
            <w:r w:rsidRPr="00D908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الهيكل المالي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(ال</w:t>
            </w:r>
            <w:r w:rsidRPr="00D908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نظريات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</w:t>
            </w:r>
            <w:r w:rsidRPr="00D908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التوازنات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2273" w:type="dxa"/>
          </w:tcPr>
          <w:p w:rsidR="00C9177D" w:rsidRPr="00330E75" w:rsidRDefault="00C9177D" w:rsidP="00C9177D">
            <w:pPr>
              <w:bidi/>
              <w:jc w:val="center"/>
              <w:rPr>
                <w:b/>
                <w:bCs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التاسع</w:t>
            </w:r>
          </w:p>
        </w:tc>
      </w:tr>
      <w:tr w:rsidR="00C9177D" w:rsidRPr="006906CB" w:rsidTr="00C9177D">
        <w:tc>
          <w:tcPr>
            <w:tcW w:w="7083" w:type="dxa"/>
          </w:tcPr>
          <w:p w:rsidR="00C9177D" w:rsidRPr="006906CB" w:rsidRDefault="00C9177D" w:rsidP="00C9177D">
            <w:p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 w:hint="cs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794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تكلفة التمويل</w:t>
            </w:r>
          </w:p>
        </w:tc>
        <w:tc>
          <w:tcPr>
            <w:tcW w:w="2273" w:type="dxa"/>
          </w:tcPr>
          <w:p w:rsidR="00C9177D" w:rsidRPr="00330E75" w:rsidRDefault="00C9177D" w:rsidP="00C9177D">
            <w:pPr>
              <w:bidi/>
              <w:jc w:val="center"/>
              <w:rPr>
                <w:b/>
                <w:bCs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العاشر</w:t>
            </w:r>
          </w:p>
        </w:tc>
      </w:tr>
      <w:tr w:rsidR="00C9177D" w:rsidRPr="006906CB" w:rsidTr="00C9177D">
        <w:tc>
          <w:tcPr>
            <w:tcW w:w="7083" w:type="dxa"/>
          </w:tcPr>
          <w:p w:rsidR="00C9177D" w:rsidRPr="00C9177D" w:rsidRDefault="00C9177D" w:rsidP="00C9177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shd w:val="clear" w:color="auto" w:fill="F2F2F2" w:themeFill="background1" w:themeFillShade="F2"/>
              </w:rPr>
            </w:pPr>
            <w:r w:rsidRPr="00A52A3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مخطط التمويل</w:t>
            </w:r>
          </w:p>
        </w:tc>
        <w:tc>
          <w:tcPr>
            <w:tcW w:w="2273" w:type="dxa"/>
          </w:tcPr>
          <w:p w:rsidR="00C9177D" w:rsidRPr="00330E75" w:rsidRDefault="00C9177D" w:rsidP="00C9177D">
            <w:pPr>
              <w:bidi/>
              <w:jc w:val="center"/>
              <w:rPr>
                <w:b/>
                <w:bCs/>
              </w:rPr>
            </w:pP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330E75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الحادي عشر </w:t>
            </w:r>
          </w:p>
        </w:tc>
      </w:tr>
      <w:tr w:rsidR="00C9177D" w:rsidRPr="006906CB" w:rsidTr="00C9177D">
        <w:tc>
          <w:tcPr>
            <w:tcW w:w="9356" w:type="dxa"/>
            <w:gridSpan w:val="2"/>
            <w:shd w:val="clear" w:color="auto" w:fill="00B0F0"/>
          </w:tcPr>
          <w:p w:rsidR="00C9177D" w:rsidRPr="00330E75" w:rsidRDefault="00C9177D" w:rsidP="00C9177D">
            <w:pPr>
              <w:bidi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</w:pPr>
            <w:r w:rsidRPr="00C917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00B0F0"/>
                <w:rtl/>
              </w:rPr>
              <w:t>المحور الخامس: إدارة الأصول المتداولة (المخزون والائتمان)</w:t>
            </w:r>
          </w:p>
        </w:tc>
      </w:tr>
      <w:tr w:rsidR="00C9177D" w:rsidRPr="006906CB" w:rsidTr="00C9177D">
        <w:tc>
          <w:tcPr>
            <w:tcW w:w="7083" w:type="dxa"/>
          </w:tcPr>
          <w:p w:rsidR="00C9177D" w:rsidRPr="00C9177D" w:rsidRDefault="00C9177D" w:rsidP="00C9177D">
            <w:p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 w:hint="cs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917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آليات تسيير الأصول المتداولة (المخزون والائتمان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2273" w:type="dxa"/>
          </w:tcPr>
          <w:p w:rsidR="00C9177D" w:rsidRPr="00C9177D" w:rsidRDefault="00C9177D" w:rsidP="00C9177D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</w:pPr>
            <w:r w:rsidRPr="00C9177D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C9177D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الثاني عشر</w:t>
            </w:r>
          </w:p>
        </w:tc>
      </w:tr>
      <w:tr w:rsidR="00C9177D" w:rsidRPr="006906CB" w:rsidTr="00C9177D">
        <w:tc>
          <w:tcPr>
            <w:tcW w:w="9356" w:type="dxa"/>
            <w:gridSpan w:val="2"/>
            <w:shd w:val="clear" w:color="auto" w:fill="00B0F0"/>
          </w:tcPr>
          <w:p w:rsidR="00C9177D" w:rsidRPr="00C9177D" w:rsidRDefault="00C9177D" w:rsidP="00C9177D">
            <w:pPr>
              <w:bidi/>
              <w:spacing w:before="100" w:beforeAutospacing="1"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C917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00B0F0"/>
                <w:rtl/>
              </w:rPr>
              <w:t xml:space="preserve">المحور السادس: </w:t>
            </w:r>
            <w:r w:rsidRPr="00C917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00B0F0"/>
                <w:rtl/>
              </w:rPr>
              <w:t>آليات اتخاذ القرارات الاستثمارية</w:t>
            </w:r>
          </w:p>
        </w:tc>
      </w:tr>
      <w:tr w:rsidR="00C9177D" w:rsidRPr="006906CB" w:rsidTr="00C9177D">
        <w:tc>
          <w:tcPr>
            <w:tcW w:w="7083" w:type="dxa"/>
          </w:tcPr>
          <w:p w:rsidR="00C9177D" w:rsidRPr="00C9177D" w:rsidRDefault="00C9177D" w:rsidP="00C9177D">
            <w:p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 w:hint="cs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917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أساليب اتخاذ القرارات الاستثمارية</w:t>
            </w:r>
          </w:p>
        </w:tc>
        <w:tc>
          <w:tcPr>
            <w:tcW w:w="2273" w:type="dxa"/>
          </w:tcPr>
          <w:p w:rsidR="00C9177D" w:rsidRPr="00C9177D" w:rsidRDefault="00C9177D" w:rsidP="00C9177D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</w:pPr>
            <w:r w:rsidRPr="00C9177D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الأسبوع</w:t>
            </w:r>
            <w:r w:rsidRPr="00C9177D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 الثالث عشر</w:t>
            </w:r>
          </w:p>
        </w:tc>
      </w:tr>
    </w:tbl>
    <w:p w:rsidR="00E75BE4" w:rsidRDefault="00C1298D">
      <w:r w:rsidRPr="00C1298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C1298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"/Users/computs/Library/Group Containers/UBF8T346G9.ms/WebArchiveCopyPasteTempFiles/com.microsoft.Word/page1image18730864" \* MERGEFORMATINET </w:instrText>
      </w:r>
      <w:r w:rsidRPr="00C1298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C1298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</w:p>
    <w:sectPr w:rsidR="00E75BE4" w:rsidSect="00C9177D">
      <w:pgSz w:w="11906" w:h="16838"/>
      <w:pgMar w:top="1134" w:right="851" w:bottom="113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Traditional Arabic,Bold">
    <w:altName w:val="Traditional Arabic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8D"/>
    <w:rsid w:val="00072FD7"/>
    <w:rsid w:val="00265623"/>
    <w:rsid w:val="002E7D5F"/>
    <w:rsid w:val="00330E75"/>
    <w:rsid w:val="00337AA8"/>
    <w:rsid w:val="0039301F"/>
    <w:rsid w:val="00443482"/>
    <w:rsid w:val="004D0D00"/>
    <w:rsid w:val="006906CB"/>
    <w:rsid w:val="006C7865"/>
    <w:rsid w:val="0071308E"/>
    <w:rsid w:val="00793CBA"/>
    <w:rsid w:val="00922F1B"/>
    <w:rsid w:val="00A56406"/>
    <w:rsid w:val="00A96751"/>
    <w:rsid w:val="00AB1861"/>
    <w:rsid w:val="00BC4823"/>
    <w:rsid w:val="00C1298D"/>
    <w:rsid w:val="00C9177D"/>
    <w:rsid w:val="00CC0C06"/>
    <w:rsid w:val="00D3245C"/>
    <w:rsid w:val="00E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CC3A"/>
  <w15:chartTrackingRefBased/>
  <w15:docId w15:val="{5B25CDAD-C94D-864E-B176-05A64BB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9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690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5C5A-C8E5-3748-AA1B-3E3BC420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Computs</dc:creator>
  <cp:keywords/>
  <dc:description/>
  <cp:lastModifiedBy>Computs</cp:lastModifiedBy>
  <cp:revision>19</cp:revision>
  <dcterms:created xsi:type="dcterms:W3CDTF">2025-10-04T21:03:00Z</dcterms:created>
  <dcterms:modified xsi:type="dcterms:W3CDTF">2025-10-23T07:01:00Z</dcterms:modified>
</cp:coreProperties>
</file>