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F3" w:rsidRPr="00642470" w:rsidRDefault="00062CF3" w:rsidP="00062CF3">
      <w:pPr>
        <w:rPr>
          <w:sz w:val="2"/>
          <w:szCs w:val="2"/>
          <w:rtl/>
          <w:lang w:bidi="ar-DZ"/>
        </w:rPr>
      </w:pPr>
    </w:p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2CF3" w:rsidRPr="005B6617" w:rsidRDefault="00062CF3" w:rsidP="00062CF3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 xml:space="preserve">جامعة محمد </w:t>
          </w:r>
          <w:proofErr w:type="spellStart"/>
          <w:r w:rsidRPr="005B6617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خيضر</w:t>
          </w:r>
          <w:proofErr w:type="spellEnd"/>
          <w:r w:rsidRPr="005B6617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 xml:space="preserve"> - بسكرة</w:t>
          </w:r>
        </w:p>
        <w:p w:rsidR="00062CF3" w:rsidRPr="005B6617" w:rsidRDefault="00062CF3" w:rsidP="00062CF3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 الحقوق والعلوم السياسية</w:t>
          </w:r>
        </w:p>
        <w:p w:rsidR="00062CF3" w:rsidRPr="005B6617" w:rsidRDefault="00062CF3" w:rsidP="00062CF3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قسم </w:t>
          </w:r>
          <w:r>
            <w:rPr>
              <w:rFonts w:ascii="Simplified Arabic" w:eastAsiaTheme="minorHAnsi" w:hAnsi="Simplified Arabic" w:cs="Simplified Arabic" w:hint="cs"/>
              <w:b/>
              <w:bCs/>
              <w:sz w:val="40"/>
              <w:szCs w:val="40"/>
              <w:rtl/>
              <w:lang w:eastAsia="en-US" w:bidi="ar-DZ"/>
            </w:rPr>
            <w:t>القانون الخاص</w:t>
          </w: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5B6617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2CF3" w:rsidRPr="005B6617" w:rsidRDefault="00404D3C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404D3C">
            <w:rPr>
              <w:rFonts w:ascii="Simplified Arabic" w:hAnsi="Simplified Arabic" w:cs="Simplified Arabic"/>
              <w:noProof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2.2pt;margin-top:14.35pt;width:480pt;height:125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GTykjLdAAAACQEAAA8AAAAAAAAA&#10;AAAAAAAAygQAAGRycy9kb3ducmV2LnhtbFBLBQYAAAAABAAEAPMAAADU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62CF3" w:rsidRPr="00061192" w:rsidRDefault="00062CF3" w:rsidP="00062CF3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EEECE1" w:themeColor="background2"/>
                          <w:sz w:val="110"/>
                          <w:szCs w:val="110"/>
                          <w:lang w:eastAsia="en-US" w:bidi="ar-DZ"/>
                        </w:rPr>
                      </w:pPr>
                      <w:proofErr w:type="gramStart"/>
                      <w:r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>مقياس</w:t>
                      </w:r>
                      <w:proofErr w:type="gramEnd"/>
                      <w:r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>: المجتمع ال</w:t>
                      </w:r>
                      <w:r w:rsidRPr="00061192">
                        <w:rPr>
                          <w:rFonts w:eastAsiaTheme="minorHAnsi" w:hint="cs"/>
                          <w:b/>
                          <w:bCs/>
                          <w:color w:val="EEECE1" w:themeColor="background2"/>
                          <w:sz w:val="110"/>
                          <w:szCs w:val="110"/>
                          <w:rtl/>
                          <w:lang w:eastAsia="en-US" w:bidi="ar-DZ"/>
                        </w:rPr>
                        <w:t>دولي</w:t>
                      </w:r>
                    </w:p>
                  </w:txbxContent>
                </v:textbox>
              </v:shape>
            </w:pict>
          </w:r>
        </w:p>
        <w:p w:rsidR="00062CF3" w:rsidRPr="005B6617" w:rsidRDefault="00062CF3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2CF3" w:rsidRPr="005B6617" w:rsidRDefault="00062CF3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062CF3" w:rsidRPr="005B6617" w:rsidRDefault="00062CF3" w:rsidP="00062CF3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2CF3" w:rsidRPr="005B6617" w:rsidRDefault="00062CF3" w:rsidP="00062CF3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</w:t>
          </w:r>
          <w:proofErr w:type="spellStart"/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القيت</w:t>
          </w:r>
          <w:proofErr w:type="spellEnd"/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 على طلبة السنة </w:t>
          </w:r>
          <w:proofErr w:type="spellStart"/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الاولى</w:t>
          </w:r>
          <w:proofErr w:type="spellEnd"/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 ليسانس – حقوق</w:t>
          </w:r>
        </w:p>
        <w:p w:rsidR="00062CF3" w:rsidRDefault="00062CF3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eastAsia="en-US" w:bidi="ar-DZ"/>
            </w:rPr>
          </w:pPr>
        </w:p>
        <w:p w:rsidR="00062CF3" w:rsidRPr="006C5A68" w:rsidRDefault="00062CF3" w:rsidP="00062CF3">
          <w:pPr>
            <w:bidi w:val="0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eastAsia="en-US" w:bidi="ar-DZ"/>
            </w:rPr>
          </w:pPr>
          <w:proofErr w:type="gramStart"/>
          <w:r w:rsidRPr="006C5A68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السداسي</w:t>
          </w:r>
          <w:proofErr w:type="gramEnd"/>
          <w:r w:rsidRPr="006C5A68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 xml:space="preserve"> الأول</w:t>
          </w:r>
        </w:p>
        <w:p w:rsidR="00062CF3" w:rsidRPr="006C5A68" w:rsidRDefault="00062CF3" w:rsidP="000328BA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sz w:val="32"/>
              <w:szCs w:val="32"/>
              <w:rtl/>
              <w:lang w:eastAsia="en-US" w:bidi="ar-DZ"/>
            </w:rPr>
          </w:pPr>
          <w:proofErr w:type="gramStart"/>
          <w:r w:rsidRPr="006C5A68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العام</w:t>
          </w:r>
          <w:proofErr w:type="gramEnd"/>
          <w:r w:rsidRPr="006C5A68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 xml:space="preserve"> الدراسي الجامعي: </w:t>
          </w:r>
          <w:r w:rsidR="000328BA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2025</w:t>
          </w:r>
          <w:r w:rsidRPr="006C5A68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 xml:space="preserve">- </w:t>
          </w:r>
          <w:bookmarkStart w:id="0" w:name="_GoBack"/>
          <w:bookmarkEnd w:id="0"/>
          <w:r w:rsidR="000328BA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FFFF00"/>
              <w:rtl/>
              <w:lang w:eastAsia="en-US" w:bidi="ar-DZ"/>
            </w:rPr>
            <w:t>2026</w:t>
          </w:r>
        </w:p>
        <w:p w:rsidR="00062CF3" w:rsidRPr="005B6617" w:rsidRDefault="00062CF3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062CF3" w:rsidRDefault="00062CF3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 w:bidi="ar-DZ"/>
            </w:rPr>
          </w:pPr>
        </w:p>
        <w:p w:rsidR="00062CF3" w:rsidRDefault="00062CF3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 w:bidi="ar-DZ"/>
            </w:rPr>
          </w:pPr>
        </w:p>
        <w:p w:rsidR="00062CF3" w:rsidRDefault="00062CF3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 w:bidi="ar-DZ"/>
            </w:rPr>
          </w:pPr>
        </w:p>
        <w:p w:rsidR="00062CF3" w:rsidRPr="005B6617" w:rsidRDefault="00062CF3" w:rsidP="00062CF3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 w:bidi="ar-DZ"/>
            </w:rPr>
          </w:pPr>
        </w:p>
        <w:p w:rsidR="00062CF3" w:rsidRPr="00067802" w:rsidRDefault="00062CF3" w:rsidP="00062CF3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Pr="005B6617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>إعداد</w:t>
          </w:r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 الأستاذ: </w:t>
          </w:r>
          <w:proofErr w:type="spellStart"/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مرزوقي</w:t>
          </w:r>
          <w:proofErr w:type="spellEnd"/>
          <w:r w:rsidRPr="005B6617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 عبد الحليم</w:t>
          </w:r>
        </w:p>
      </w:sdtContent>
    </w:sdt>
    <w:p w:rsidR="00062CF3" w:rsidRPr="00184125" w:rsidRDefault="00062CF3">
      <w:pPr>
        <w:rPr>
          <w:sz w:val="2"/>
          <w:szCs w:val="2"/>
          <w:rtl/>
          <w:lang w:bidi="ar-DZ"/>
        </w:rPr>
      </w:pPr>
    </w:p>
    <w:p w:rsidR="00062CF3" w:rsidRPr="007F724F" w:rsidRDefault="00062CF3" w:rsidP="00062CF3">
      <w:pPr>
        <w:ind w:firstLine="423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</w:pPr>
      <w:proofErr w:type="gram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lastRenderedPageBreak/>
        <w:t>المطلب</w:t>
      </w:r>
      <w:proofErr w:type="gramEnd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الثاني</w:t>
      </w:r>
    </w:p>
    <w:p w:rsidR="00062CF3" w:rsidRPr="007F724F" w:rsidRDefault="00062CF3" w:rsidP="00062CF3">
      <w:pPr>
        <w:spacing w:line="276" w:lineRule="auto"/>
        <w:ind w:firstLine="423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السيادة والاعتراف الدولي كعناصر قانونية لتكوين الدولة</w:t>
      </w:r>
    </w:p>
    <w:p w:rsidR="00062CF3" w:rsidRPr="007F724F" w:rsidRDefault="00062CF3" w:rsidP="00062CF3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ab/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ab/>
        <w:t>تم ابتكار عدة عناصر قانونية في تكوين الدولة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حيث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ان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معظم كتاب القانون الدولي اشترطوا ذلك، خاصة توفر عنصر السيادة وكذلك عنصر الاعتراف.</w:t>
      </w:r>
    </w:p>
    <w:p w:rsidR="00062CF3" w:rsidRPr="007F724F" w:rsidRDefault="00062CF3" w:rsidP="00184125">
      <w:pPr>
        <w:shd w:val="clear" w:color="auto" w:fill="D9D9D9" w:themeFill="background1" w:themeFillShade="D9"/>
        <w:spacing w:line="276" w:lineRule="auto"/>
        <w:ind w:left="-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الفرع </w:t>
      </w:r>
      <w:proofErr w:type="spell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الاول</w:t>
      </w:r>
      <w:proofErr w:type="spellEnd"/>
    </w:p>
    <w:p w:rsidR="00062CF3" w:rsidRPr="007F724F" w:rsidRDefault="00062CF3" w:rsidP="00062CF3">
      <w:pPr>
        <w:spacing w:line="276" w:lineRule="auto"/>
        <w:ind w:left="-2"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</w:pPr>
      <w:proofErr w:type="gram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عنصر</w:t>
      </w:r>
      <w:proofErr w:type="gramEnd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السيادة</w:t>
      </w:r>
    </w:p>
    <w:p w:rsidR="00062CF3" w:rsidRPr="007F724F" w:rsidRDefault="00062CF3" w:rsidP="00062CF3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ab/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ab/>
        <w:t xml:space="preserve"> يعود ظهور فكرة السيادة إلى النظريات الحديثة حول السيادة في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اوروبا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، والتي ظهرت كاحتجاج ضد </w:t>
      </w:r>
      <w:r w:rsidR="00184125"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الإمبراطور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والبابا حيث تفسر هذه الفكرة واقع الصراع على السلطة العليا بين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الامبراطور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والكنيسة والذي انتهى لصالح ملوك </w:t>
      </w:r>
      <w:r w:rsidR="00184125"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أوروبا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، وحصر  سلطة البابا، وقد نص ميثاق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الامم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المتحدة صراحة على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مبدا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المساواة في السيادة 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footnoteReference w:customMarkFollows="1" w:id="2"/>
        <w:t>(1)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دلالة على أهميته، باعتباره أهم المبادئ </w:t>
      </w:r>
      <w:r w:rsidR="00184125"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الأساسية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للقانون الدولي المعاصر، وتدعم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مبدا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السيادة بمبدأ عدم التدخل في الشؤون الداخلية للدول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footnoteReference w:customMarkFollows="1" w:id="3"/>
        <w:t>(2)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.</w:t>
      </w:r>
    </w:p>
    <w:p w:rsidR="00062CF3" w:rsidRPr="007F724F" w:rsidRDefault="00062CF3" w:rsidP="00062CF3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أولا: تعريف السيادة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: يقصد بالسيادة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المباشرة الداخلية والخارجية لاختصاصات السلطة الحاكمة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footnoteReference w:customMarkFollows="1" w:id="4"/>
        <w:t>(3)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، وهي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يضا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السلطة العليا التي لا تعترف بسلطة أعلى منها أو من ورائها تملك سلطة </w:t>
      </w:r>
      <w:proofErr w:type="spellStart"/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اعادة</w:t>
      </w:r>
      <w:proofErr w:type="spellEnd"/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النظر في قراراتها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footnoteReference w:customMarkFollows="1" w:id="5"/>
        <w:t>(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eastAsia="en-US" w:bidi="ar-DZ"/>
        </w:rPr>
        <w:t>4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t>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.</w:t>
      </w:r>
    </w:p>
    <w:p w:rsidR="00062CF3" w:rsidRPr="007F724F" w:rsidRDefault="00062CF3" w:rsidP="00062CF3">
      <w:pPr>
        <w:tabs>
          <w:tab w:val="right" w:pos="282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ثانيا: </w:t>
      </w:r>
      <w:proofErr w:type="gram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خصائص</w:t>
      </w:r>
      <w:proofErr w:type="gramEnd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السيادة: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من خلال التعريفات السابقة يمكن تحديد بعض خصائص السيادة، والتي نذكر منها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footnoteReference w:customMarkFollows="1" w:id="6"/>
        <w:t>(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eastAsia="en-US" w:bidi="ar-DZ"/>
        </w:rPr>
        <w:t>5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t>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:</w:t>
      </w:r>
    </w:p>
    <w:p w:rsidR="00062CF3" w:rsidRPr="007F724F" w:rsidRDefault="00062CF3" w:rsidP="00062CF3">
      <w:pPr>
        <w:tabs>
          <w:tab w:val="right" w:pos="282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- </w:t>
      </w:r>
      <w:proofErr w:type="gram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السيادة</w:t>
      </w:r>
      <w:proofErr w:type="gram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لا تقبل التجزئة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ي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ن تمارسها الدولة على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قليم واحد وفي وقت واحد ( سلطة عليا).</w:t>
      </w:r>
    </w:p>
    <w:p w:rsidR="00062CF3" w:rsidRPr="007F724F" w:rsidRDefault="00062CF3" w:rsidP="00062CF3">
      <w:pPr>
        <w:tabs>
          <w:tab w:val="right" w:pos="282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- </w:t>
      </w:r>
      <w:proofErr w:type="gram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السيادة</w:t>
      </w:r>
      <w:proofErr w:type="gram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غير قابلة للتصرف فيها،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ي لا يحق للدولة صاحبة السيادة التنازل عنها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لما يترتب               عن هذا التصرف من فقدان للسيادة وبالتالي زوال شخصية الدولة.</w:t>
      </w:r>
    </w:p>
    <w:p w:rsidR="00062CF3" w:rsidRPr="007F724F" w:rsidRDefault="00062CF3" w:rsidP="00062CF3">
      <w:pPr>
        <w:tabs>
          <w:tab w:val="left" w:pos="913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- السيادة غير قابلة للتملك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و الانتقال إلى دولة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خرى بمرور مدة من الزمن،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فاذا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قامت دولة باحتلال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اقليم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دولة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خرى، فان السيادة تبقى للدولة الثانية باعتبارها المالك الشرعي للإقليم.</w:t>
      </w:r>
    </w:p>
    <w:p w:rsidR="00062CF3" w:rsidRPr="007F724F" w:rsidRDefault="00062CF3" w:rsidP="00062CF3">
      <w:pPr>
        <w:tabs>
          <w:tab w:val="left" w:pos="913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ثالثا: القيود الواردة على مبد</w:t>
      </w:r>
      <w:r w:rsidRPr="007F724F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السيادة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:</w:t>
      </w:r>
      <w:r w:rsidRPr="007F724F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 xml:space="preserve">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لم تعد السيادة مطلقة كما كان الوضع قبل القرن العشرين، بل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صبحت مقيدة بقواعد وضعها القانون الدولي في حدود التعاون والسلم وال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من بين الدول، لكن وضع قيود على السيادة لا يعني تقييد حقوق الدولة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نما يعني تقييد ممارسة الدولة لهذه الحقوق لذلك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فالقانون الدولي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lastRenderedPageBreak/>
        <w:t>لا ينفي فكرة السيادة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نما يعطيها معنى جديدا هو حرية التصرف وفقا لقواعد هذا القانون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والتي التزمت الدول بمراعاتها.</w:t>
      </w:r>
    </w:p>
    <w:p w:rsidR="00062CF3" w:rsidRPr="00184125" w:rsidRDefault="00062CF3" w:rsidP="00184125">
      <w:pPr>
        <w:tabs>
          <w:tab w:val="left" w:pos="913"/>
        </w:tabs>
        <w:spacing w:line="276" w:lineRule="auto"/>
        <w:ind w:left="-2"/>
        <w:contextualSpacing/>
        <w:jc w:val="both"/>
        <w:rPr>
          <w:rFonts w:asciiTheme="minorHAnsi" w:eastAsiaTheme="minorHAnsi" w:hAnsiTheme="minorHAnsi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ab/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وفي المقابل تعتبر الدولة الشخص الدولي الوحيد الذي يحق له الموافقة على القيود الواردة على السيادة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كما تتماشى هذه القيود مع تطور المجتمع الدولي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الذي يقتضي وضع قيود على سيادة الدولة من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جل تحقيق مصلحة المجتمع الدولي، وتتلخص هذه القيود في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إمكانية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ابرام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معاهدات واتفاقيات دولية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أو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الانضمام إلى منظمات دولية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وكذا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احترام سيادة الدول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الاخرى</w:t>
      </w:r>
      <w:proofErr w:type="spellEnd"/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 و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قواعد القانون الدولي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و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حقوق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الانسان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، وتسوية النزاعات الدولية بالطريقة السلمية.</w:t>
      </w:r>
    </w:p>
    <w:p w:rsidR="00062CF3" w:rsidRPr="007F724F" w:rsidRDefault="00062CF3" w:rsidP="00062CF3">
      <w:pPr>
        <w:tabs>
          <w:tab w:val="left" w:pos="913"/>
        </w:tabs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رابعا: </w:t>
      </w:r>
      <w:proofErr w:type="spell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الاثار</w:t>
      </w:r>
      <w:proofErr w:type="spellEnd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القانونية للسيادة: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من بين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الاثار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القانونية للسيادة نجد ما يلي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footnoteReference w:customMarkFollows="1" w:id="7"/>
        <w:t>(1)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:</w:t>
      </w:r>
    </w:p>
    <w:p w:rsidR="00062CF3" w:rsidRPr="007F724F" w:rsidRDefault="00062CF3" w:rsidP="00062CF3">
      <w:pPr>
        <w:numPr>
          <w:ilvl w:val="0"/>
          <w:numId w:val="2"/>
        </w:numPr>
        <w:tabs>
          <w:tab w:val="right" w:pos="282"/>
          <w:tab w:val="right" w:pos="565"/>
        </w:tabs>
        <w:spacing w:line="276" w:lineRule="auto"/>
        <w:ind w:left="-2" w:firstLine="0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proofErr w:type="gram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تمتع</w:t>
      </w:r>
      <w:proofErr w:type="gramEnd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الدولة بالشخصية الدولية الكاملة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: هي من أهم خصائص الدولة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كما تميزها عن الكيانات ال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خرى كالمنظمات الدولية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وحركات التحرر الوطنية من صفتين:</w:t>
      </w:r>
    </w:p>
    <w:p w:rsidR="00062CF3" w:rsidRPr="007F724F" w:rsidRDefault="00062CF3" w:rsidP="00062CF3">
      <w:pPr>
        <w:numPr>
          <w:ilvl w:val="0"/>
          <w:numId w:val="1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شخصية الدولة كاملة باعتبار الدولة هي الشخص الدولي الوحيد الذي يتمتع بكافة الحقوق والواجبات (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الراي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الاستشاري بمحكمة العدل الدولية سنة 1949).</w:t>
      </w:r>
    </w:p>
    <w:p w:rsidR="00062CF3" w:rsidRPr="007F724F" w:rsidRDefault="00062CF3" w:rsidP="00062CF3">
      <w:pPr>
        <w:numPr>
          <w:ilvl w:val="0"/>
          <w:numId w:val="1"/>
        </w:numPr>
        <w:spacing w:line="276" w:lineRule="auto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الدولة تتمتع بالشخصية الدولية بصورة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صلية باعتبارها واقعا اجتماعيا وتاريخيا بينما تستمد شخصية المنظمات الدولية من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ارادة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الدول ( الاتفاق المنشئ للمنظمة الدولية ).</w:t>
      </w:r>
    </w:p>
    <w:p w:rsidR="00062CF3" w:rsidRPr="007F724F" w:rsidRDefault="00062CF3" w:rsidP="00062CF3">
      <w:pPr>
        <w:spacing w:line="276" w:lineRule="auto"/>
        <w:ind w:left="-2"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ab/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ab/>
        <w:t>ويترتب على تمتع الدولة بالشخصية القانونية الدولية النتائج التالية:</w:t>
      </w:r>
    </w:p>
    <w:p w:rsidR="00062CF3" w:rsidRPr="007F724F" w:rsidRDefault="00062CF3" w:rsidP="00062CF3">
      <w:pPr>
        <w:numPr>
          <w:ilvl w:val="0"/>
          <w:numId w:val="1"/>
        </w:numPr>
        <w:tabs>
          <w:tab w:val="clear" w:pos="720"/>
          <w:tab w:val="num" w:pos="1841"/>
        </w:tabs>
        <w:spacing w:line="276" w:lineRule="auto"/>
        <w:ind w:left="1557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ابرام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معاهدات دولية.</w:t>
      </w:r>
    </w:p>
    <w:p w:rsidR="00062CF3" w:rsidRPr="007F724F" w:rsidRDefault="00062CF3" w:rsidP="00062CF3">
      <w:pPr>
        <w:numPr>
          <w:ilvl w:val="0"/>
          <w:numId w:val="1"/>
        </w:numPr>
        <w:tabs>
          <w:tab w:val="clear" w:pos="720"/>
          <w:tab w:val="right" w:pos="565"/>
          <w:tab w:val="right" w:pos="707"/>
          <w:tab w:val="num" w:pos="1841"/>
        </w:tabs>
        <w:spacing w:line="276" w:lineRule="auto"/>
        <w:ind w:left="1557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القيام بصلاحيات واسعة مثل الاعتراف بالدول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الاخرى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، الاحتجاج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الديبلوماسي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،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الاعلان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،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اصدار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قوانين بكل سيادة مثل قوانين الجنسية ووضع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الاجانب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.</w:t>
      </w:r>
    </w:p>
    <w:p w:rsidR="00062CF3" w:rsidRPr="007F724F" w:rsidRDefault="00062CF3" w:rsidP="00062CF3">
      <w:pPr>
        <w:numPr>
          <w:ilvl w:val="0"/>
          <w:numId w:val="1"/>
        </w:numPr>
        <w:tabs>
          <w:tab w:val="clear" w:pos="720"/>
          <w:tab w:val="num" w:pos="1841"/>
        </w:tabs>
        <w:spacing w:line="276" w:lineRule="auto"/>
        <w:ind w:left="1557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الانضمام إلى منظمات دولية.</w:t>
      </w:r>
    </w:p>
    <w:p w:rsidR="00062CF3" w:rsidRPr="007F724F" w:rsidRDefault="00062CF3" w:rsidP="00062CF3">
      <w:pPr>
        <w:numPr>
          <w:ilvl w:val="0"/>
          <w:numId w:val="1"/>
        </w:numPr>
        <w:tabs>
          <w:tab w:val="clear" w:pos="720"/>
          <w:tab w:val="num" w:pos="1841"/>
        </w:tabs>
        <w:spacing w:line="276" w:lineRule="auto"/>
        <w:ind w:left="1557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قيام المسؤولية الدولية في حالة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الاخلال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بالتزام دولي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 مخالفة قواعد دولية.</w:t>
      </w:r>
    </w:p>
    <w:p w:rsidR="00062CF3" w:rsidRPr="007F724F" w:rsidRDefault="00062CF3" w:rsidP="00062CF3">
      <w:pPr>
        <w:numPr>
          <w:ilvl w:val="0"/>
          <w:numId w:val="1"/>
        </w:numPr>
        <w:tabs>
          <w:tab w:val="clear" w:pos="720"/>
          <w:tab w:val="num" w:pos="1841"/>
        </w:tabs>
        <w:spacing w:line="276" w:lineRule="auto"/>
        <w:ind w:left="1557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آ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ثار المترتبة عن تصرفات ال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فراد الذين يمثلون الدولة </w:t>
      </w:r>
      <w:proofErr w:type="gram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تنصرف</w:t>
      </w:r>
      <w:proofErr w:type="gram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إلى هذه ال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خيرة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ل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نهم يعملون باسمها ولحسابها باعتبارها شخصا دوليا.</w:t>
      </w:r>
    </w:p>
    <w:p w:rsidR="00062CF3" w:rsidRPr="007F724F" w:rsidRDefault="00062CF3" w:rsidP="00062CF3">
      <w:pPr>
        <w:numPr>
          <w:ilvl w:val="0"/>
          <w:numId w:val="2"/>
        </w:numPr>
        <w:tabs>
          <w:tab w:val="right" w:pos="282"/>
          <w:tab w:val="right" w:pos="565"/>
        </w:tabs>
        <w:spacing w:line="276" w:lineRule="auto"/>
        <w:ind w:left="-2" w:firstLine="0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الاستقلال في ظل العلاقات الدولية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: ويتمثل هذا الاستقلال في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: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</w:p>
    <w:p w:rsidR="00062CF3" w:rsidRPr="007F724F" w:rsidRDefault="00062CF3" w:rsidP="00062CF3">
      <w:pPr>
        <w:numPr>
          <w:ilvl w:val="0"/>
          <w:numId w:val="1"/>
        </w:numPr>
        <w:tabs>
          <w:tab w:val="clear" w:pos="720"/>
        </w:tabs>
        <w:spacing w:line="276" w:lineRule="auto"/>
        <w:ind w:left="1416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proofErr w:type="gram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حرية</w:t>
      </w:r>
      <w:proofErr w:type="gram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الدولة في ممارسة صلاحياتها الداخلية والخارجية كإبرام المعاهدات مع الدول دون التدخل في شؤونها الداخلية من جانب الدول ال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خرى.</w:t>
      </w:r>
    </w:p>
    <w:p w:rsidR="00062CF3" w:rsidRPr="007F724F" w:rsidRDefault="00062CF3" w:rsidP="00062CF3">
      <w:pPr>
        <w:numPr>
          <w:ilvl w:val="0"/>
          <w:numId w:val="1"/>
        </w:numPr>
        <w:tabs>
          <w:tab w:val="clear" w:pos="720"/>
        </w:tabs>
        <w:spacing w:line="276" w:lineRule="auto"/>
        <w:ind w:left="1416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proofErr w:type="gram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lastRenderedPageBreak/>
        <w:t>المساواة</w:t>
      </w:r>
      <w:proofErr w:type="gram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في السيادة بين الدول وتعني المساواة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مام القانون في الحقوق والواجبات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مام المحاكم الدولية وفي المنظمات الدولية.</w:t>
      </w:r>
    </w:p>
    <w:p w:rsidR="00062CF3" w:rsidRPr="007F724F" w:rsidRDefault="00062CF3" w:rsidP="00184125">
      <w:pPr>
        <w:numPr>
          <w:ilvl w:val="0"/>
          <w:numId w:val="1"/>
        </w:numPr>
        <w:tabs>
          <w:tab w:val="clear" w:pos="720"/>
        </w:tabs>
        <w:ind w:left="1416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تمتع الدولة بالحصانة القضائية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وتعني عدم جواز رفع دعوى على دولة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مام قضاء دولة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اخرى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، وعدم جواز التنفيذ على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موالها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لا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ذا مارست الدولة المعنية نشاطا اقتصاديا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و تجاريا. </w:t>
      </w:r>
    </w:p>
    <w:p w:rsidR="00062CF3" w:rsidRPr="00184125" w:rsidRDefault="00062CF3" w:rsidP="00184125">
      <w:pPr>
        <w:jc w:val="both"/>
        <w:rPr>
          <w:rFonts w:ascii="Simplified Arabic" w:eastAsiaTheme="minorHAnsi" w:hAnsi="Simplified Arabic" w:cs="Simplified Arabic"/>
          <w:sz w:val="2"/>
          <w:szCs w:val="2"/>
          <w:rtl/>
          <w:lang w:eastAsia="en-US" w:bidi="ar-DZ"/>
        </w:rPr>
      </w:pPr>
    </w:p>
    <w:p w:rsidR="00062CF3" w:rsidRPr="007F724F" w:rsidRDefault="00062CF3" w:rsidP="00184125">
      <w:pPr>
        <w:shd w:val="clear" w:color="auto" w:fill="D9D9D9" w:themeFill="background1" w:themeFillShade="D9"/>
        <w:ind w:left="282"/>
        <w:contextualSpacing/>
        <w:jc w:val="center"/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</w:pPr>
      <w:proofErr w:type="gram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الفرع</w:t>
      </w:r>
      <w:proofErr w:type="gramEnd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الثاني</w:t>
      </w:r>
    </w:p>
    <w:p w:rsidR="00062CF3" w:rsidRPr="007F724F" w:rsidRDefault="00062CF3" w:rsidP="00184125">
      <w:pPr>
        <w:ind w:left="282"/>
        <w:contextualSpacing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proofErr w:type="gram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عنصر</w:t>
      </w:r>
      <w:proofErr w:type="gramEnd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الاعتراف</w:t>
      </w:r>
    </w:p>
    <w:p w:rsidR="00062CF3" w:rsidRPr="007F724F" w:rsidRDefault="00062CF3" w:rsidP="00062CF3">
      <w:pPr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ab/>
      </w: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ab/>
      </w: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lang w:eastAsia="en-US" w:bidi="ar-DZ"/>
        </w:rPr>
        <w:t xml:space="preserve">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يخضع الاعتراف بالدول لاعتبارات سياسية وقانونية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فهناك حالات يتم فيها الاعتراف بدول لم تستقل بشكل نهائي مثل الاعتراف بدولة فلسطين من طرف الدول العربية والعديد من الدول غير العربية، كما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ن هناك حالات لم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يعترف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فيها بالدول رغم وجود عناصرها الثلاثة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 كعدم اعتراف دول غربية موالية لإسرائيل بالدولة الفلسطينية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.</w:t>
      </w:r>
    </w:p>
    <w:p w:rsidR="00062CF3" w:rsidRPr="007F724F" w:rsidRDefault="00062CF3" w:rsidP="00062CF3">
      <w:pPr>
        <w:spacing w:line="276" w:lineRule="auto"/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</w:pPr>
      <w:proofErr w:type="gramStart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أولا</w:t>
      </w:r>
      <w:proofErr w:type="gramEnd"/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: تعريف عنصر الاعتراف: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هو التصرف الحر الذي يصدر عن دولة واحدة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و عدة دول للإقرار بوجود جماعة بشرية فوق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قليم معين تتمتع بتنظيم سياسي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واستقلال كامل وتقدر على الوفاء بالتزاماتها الدولية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footnoteReference w:customMarkFollows="1" w:id="8"/>
        <w:t>(1)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.</w:t>
      </w:r>
    </w:p>
    <w:p w:rsidR="00062CF3" w:rsidRPr="007F724F" w:rsidRDefault="00062CF3" w:rsidP="00184125">
      <w:pPr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      للإشارة انه يجب التفريق</w:t>
      </w: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u w:val="single"/>
          <w:rtl/>
          <w:lang w:eastAsia="en-US" w:bidi="ar-DZ"/>
        </w:rPr>
        <w:t xml:space="preserve">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بين الاعتراف بالدولة والاعتراف بالحكومة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فالأول يكون في حالة قيام دولة جديدة،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ما الاعتراف بالحكومة فيتم في حالة وجود الدولة واستمراره لكن مع وجود تغيير في الحكومة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ما بطرق دستورية وذلك بإجراء انتخابات رئاسية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و بطريق غير دستورية باستعمال القوة والعنف، وهذا يطرح في حد ذاته إشكالية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ضافة إلى شرعية الحكومة الجديدة وفي فعاليتها بسبب الاضطرابات السياسية.</w:t>
      </w:r>
    </w:p>
    <w:p w:rsidR="00062CF3" w:rsidRPr="007F724F" w:rsidRDefault="00062CF3" w:rsidP="00184125">
      <w:pPr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proofErr w:type="spellStart"/>
      <w:r w:rsidRPr="007F724F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eastAsia="en-US" w:bidi="ar-DZ"/>
        </w:rPr>
        <w:t>تانيا</w:t>
      </w:r>
      <w:proofErr w:type="spellEnd"/>
      <w:r w:rsidRPr="007F724F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eastAsia="en-US" w:bidi="ar-DZ"/>
        </w:rPr>
        <w:t xml:space="preserve">: </w:t>
      </w: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الطبيعة القانونية للاعتراف( </w:t>
      </w:r>
      <w:r w:rsidRPr="007F724F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eastAsia="en-US" w:bidi="ar-DZ"/>
        </w:rPr>
        <w:t>آ</w:t>
      </w: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ثاره):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اختلف فقهاء القانون الدولي حول الطبيعة القانونية للاعتراف بين من يرى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نه منشئ للدولة، ومن يرى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نه كاشف لوجود سابق للدولة:</w:t>
      </w:r>
    </w:p>
    <w:p w:rsidR="00062CF3" w:rsidRPr="007F724F" w:rsidRDefault="00062CF3" w:rsidP="00184125">
      <w:pPr>
        <w:numPr>
          <w:ilvl w:val="0"/>
          <w:numId w:val="3"/>
        </w:numPr>
        <w:tabs>
          <w:tab w:val="right" w:pos="282"/>
        </w:tabs>
        <w:ind w:left="-2" w:firstLine="0"/>
        <w:contextualSpacing/>
        <w:jc w:val="both"/>
        <w:rPr>
          <w:rFonts w:ascii="Simplified Arabic" w:eastAsiaTheme="minorHAnsi" w:hAnsi="Simplified Arabic" w:cs="Simplified Arabic"/>
          <w:b/>
          <w:bCs/>
          <w:sz w:val="28"/>
          <w:szCs w:val="28"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الاعتراف المنشئ: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يرى مؤيدوه أن الاعتراف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بالدولة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الجديدة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هو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الذي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يخلق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الشخصية القانونية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لها،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ومن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ثم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فهو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الذي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يمنحها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الوجود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القانوني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باعتبارها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شخصًا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قانونيًا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من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أشخاص القانون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الدولي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 xml:space="preserve">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/>
        </w:rPr>
        <w:t>العام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/>
        </w:rPr>
        <w:footnoteReference w:customMarkFollows="1" w:id="9"/>
        <w:t>(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eastAsia="en-US"/>
        </w:rPr>
        <w:t>3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/>
        </w:rPr>
        <w:t>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/>
        </w:rPr>
        <w:t>.</w:t>
      </w:r>
    </w:p>
    <w:p w:rsidR="00062CF3" w:rsidRPr="007F724F" w:rsidRDefault="00062CF3" w:rsidP="00184125">
      <w:pPr>
        <w:tabs>
          <w:tab w:val="right" w:pos="282"/>
        </w:tabs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ab/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ab/>
        <w:t xml:space="preserve">وما يؤخذ على هذا الاتجاه انه يربط وجود الدولة ليس بإرادتها الذاتية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وانما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بإرادة الدول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الاخرى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، ومن الثابت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ان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الوجود السياسي للدولة من الناحية الواقعية مستقل تماما عن اعتراف الدول </w:t>
      </w:r>
      <w:r w:rsidR="00184125"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الأخرى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بها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.</w:t>
      </w:r>
    </w:p>
    <w:p w:rsidR="00062CF3" w:rsidRPr="007F724F" w:rsidRDefault="00062CF3" w:rsidP="00184125">
      <w:pPr>
        <w:ind w:left="28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      كما يجعل هذا الاتجاه دخول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اي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دولة جديدة إلى الجماعة الدولية يتوقف على موافقة الدول القديمة وهذا ما يتعارض مع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مبدا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المساواة بين الدول في السيادة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footnoteReference w:customMarkFollows="1" w:id="10"/>
        <w:t>(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vertAlign w:val="superscript"/>
          <w:rtl/>
          <w:lang w:eastAsia="en-US" w:bidi="ar-DZ"/>
        </w:rPr>
        <w:t>3</w:t>
      </w:r>
      <w:r w:rsidRPr="007F724F">
        <w:rPr>
          <w:rFonts w:ascii="Simplified Arabic" w:eastAsiaTheme="minorHAnsi" w:hAnsi="Simplified Arabic" w:cs="Simplified Arabic"/>
          <w:sz w:val="28"/>
          <w:szCs w:val="28"/>
          <w:vertAlign w:val="superscript"/>
          <w:rtl/>
          <w:lang w:eastAsia="en-US" w:bidi="ar-DZ"/>
        </w:rPr>
        <w:t>)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.</w:t>
      </w:r>
    </w:p>
    <w:p w:rsidR="00062CF3" w:rsidRPr="007F724F" w:rsidRDefault="00062CF3" w:rsidP="00184125">
      <w:pPr>
        <w:ind w:left="-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eastAsia="en-US" w:bidi="ar-DZ"/>
        </w:rPr>
        <w:lastRenderedPageBreak/>
        <w:t xml:space="preserve">ب- </w:t>
      </w: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>الاعتراف الكاشف( المقرر):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وهو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الاقرار</w:t>
      </w:r>
      <w:proofErr w:type="spellEnd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بالأمر الواقع من قبل الدول القائمة، ويعني اكتساب الدولة وصف الشخص القانوني يتوقف فقط على توافر العناصر الثلاثة المكونة لها وبالتالي يكشف فقط عن وجود هذه العناصر. </w:t>
      </w:r>
    </w:p>
    <w:p w:rsidR="00062CF3" w:rsidRPr="007F724F" w:rsidRDefault="00062CF3" w:rsidP="00184125">
      <w:pPr>
        <w:ind w:left="282"/>
        <w:contextualSpacing/>
        <w:jc w:val="both"/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</w:pPr>
      <w:r w:rsidRPr="007F724F">
        <w:rPr>
          <w:rFonts w:ascii="Simplified Arabic" w:eastAsiaTheme="minorHAnsi" w:hAnsi="Simplified Arabic" w:cs="Simplified Arabic"/>
          <w:b/>
          <w:bCs/>
          <w:sz w:val="28"/>
          <w:szCs w:val="28"/>
          <w:rtl/>
          <w:lang w:eastAsia="en-US" w:bidi="ar-DZ"/>
        </w:rPr>
        <w:t xml:space="preserve">      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ومن ثم يعتبر الاعتراف وسيلة ملائمة لإيجاد علاقات مستقرة بين الدول، بمعنى استعداد هذه الدول لإقامة علاقات عادية مع الدول المعترف </w:t>
      </w:r>
      <w:proofErr w:type="spellStart"/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بها</w:t>
      </w:r>
      <w:proofErr w:type="spellEnd"/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ويترتب على ذلك 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ن مس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لة وجود الدولة من عدمه هي مس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لة واقع</w:t>
      </w:r>
      <w:r w:rsidRPr="007F724F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،</w:t>
      </w:r>
      <w:r w:rsidRPr="007F724F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وهذا الاعتراف يتماشى مع الممارسة والقانون الدولي الحاليين.</w:t>
      </w:r>
    </w:p>
    <w:p w:rsidR="00062CF3" w:rsidRPr="005B6617" w:rsidRDefault="00062CF3" w:rsidP="00062CF3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062CF3" w:rsidRPr="005B6617" w:rsidRDefault="00404D3C" w:rsidP="00062CF3">
      <w:pPr>
        <w:jc w:val="both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shape id="Zone de texte 2" o:spid="_x0000_s1026" type="#_x0000_t202" style="position:absolute;left:0;text-align:left;margin-left:36pt;margin-top:1.25pt;width:409.5pt;height:87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" filled="f" stroked="f">
            <v:textbox>
              <w:txbxContent>
                <w:p w:rsidR="00062CF3" w:rsidRPr="007F724F" w:rsidRDefault="00062CF3" w:rsidP="00062CF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ABF8F" w:themeFill="accent6" w:themeFillTint="99"/>
                    <w:jc w:val="center"/>
                    <w:rPr>
                      <w:b/>
                      <w:color w:val="EEECE1" w:themeColor="background2"/>
                      <w:sz w:val="96"/>
                      <w:szCs w:val="96"/>
                      <w:lang w:val="en-US" w:bidi="ar-DZ"/>
                    </w:rPr>
                  </w:pPr>
                  <w:r w:rsidRPr="007F724F">
                    <w:rPr>
                      <w:rFonts w:hint="cs"/>
                      <w:b/>
                      <w:color w:val="EEECE1" w:themeColor="background2"/>
                      <w:sz w:val="96"/>
                      <w:szCs w:val="96"/>
                      <w:rtl/>
                      <w:lang w:val="en-US" w:bidi="ar-DZ"/>
                    </w:rPr>
                    <w:t>قائمة المراجع</w:t>
                  </w:r>
                  <w:r>
                    <w:rPr>
                      <w:rFonts w:hint="cs"/>
                      <w:b/>
                      <w:color w:val="EEECE1" w:themeColor="background2"/>
                      <w:sz w:val="96"/>
                      <w:szCs w:val="96"/>
                      <w:rtl/>
                      <w:lang w:val="en-US" w:bidi="ar-DZ"/>
                    </w:rPr>
                    <w:t>:</w:t>
                  </w:r>
                </w:p>
                <w:p w:rsidR="00062CF3" w:rsidRDefault="00062CF3" w:rsidP="00062CF3">
                  <w:pPr>
                    <w:jc w:val="center"/>
                  </w:pPr>
                </w:p>
              </w:txbxContent>
            </v:textbox>
          </v:shape>
        </w:pict>
      </w:r>
    </w:p>
    <w:p w:rsidR="00062CF3" w:rsidRPr="005B6617" w:rsidRDefault="00062CF3" w:rsidP="00062CF3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062CF3" w:rsidRPr="005B6617" w:rsidRDefault="00062CF3" w:rsidP="00062CF3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062CF3" w:rsidRPr="005B6617" w:rsidRDefault="00062CF3" w:rsidP="00062CF3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062CF3" w:rsidRPr="005B6617" w:rsidRDefault="00062CF3" w:rsidP="00062CF3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062CF3" w:rsidRPr="00F42F7B" w:rsidRDefault="00062CF3" w:rsidP="00062CF3">
      <w:pPr>
        <w:pStyle w:val="Paragraphedeliste"/>
        <w:numPr>
          <w:ilvl w:val="0"/>
          <w:numId w:val="4"/>
        </w:numPr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ميثاق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الامم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المتحدة.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تونسي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بن عامر،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1998.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جهاد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عودة،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الهدى، مصر، ط1، 2005.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جوزيف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فرانكل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ترجمة: غازي عبد الرحمان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القصيبي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دار تهامة، جدة، المملكة العربية السعودية، ط2، 1984.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حسين عمر،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دار الفكر العربي، </w:t>
      </w:r>
      <w:proofErr w:type="gram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القاهرة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2000.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رياض صالح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ابو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العطا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اثراء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للنشر، عمان ،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الاردن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ط1، 2010.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الرحمان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لحرش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المجتمع الدولي: التطور </w:t>
      </w:r>
      <w:proofErr w:type="spell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والاشخاص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دار العلوم،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عنابة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الجزائر، 2007.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الكريم عوض خليفة،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دار الجامعة الجديدة،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الاسكندرية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مصر، 2009.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عثمان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بقنيش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الجامعية،الجزائر،2012.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علي خليل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اسماعيل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الحديثي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القانون الدولي العام: المبادئ </w:t>
      </w:r>
      <w:proofErr w:type="spell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والاصول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ج1، دار النهضة العربية، دب ن، 2010.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عمر سعد الله، احمد </w:t>
      </w:r>
      <w:proofErr w:type="gram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بن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ناصر،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2000.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proofErr w:type="gram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ديوان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المطبوعات الجامعية، الجزائر، 2009.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</w:t>
      </w:r>
      <w:proofErr w:type="gram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،1994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المجتمع الدولي: </w:t>
      </w:r>
      <w:proofErr w:type="spell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الاصول</w:t>
      </w:r>
      <w:proofErr w:type="spellEnd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 والتطور </w:t>
      </w:r>
      <w:proofErr w:type="spell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والاشخاص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القسم </w:t>
      </w:r>
      <w:proofErr w:type="spell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الاول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ديوان المطبوعات الجامعية، الجزائر، 1994. 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المجتمع الدولي: </w:t>
      </w:r>
      <w:proofErr w:type="spell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الاصول</w:t>
      </w:r>
      <w:proofErr w:type="spellEnd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 والتطور </w:t>
      </w:r>
      <w:proofErr w:type="spell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والاشخاص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القسم الثاني، ديوان المطبوعات الجامعية، الجزائر، 1994.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محمد المجذوب،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</w:t>
      </w: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الإقليم </w:t>
      </w:r>
      <w:proofErr w:type="spellStart"/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ية</w:t>
      </w:r>
      <w:proofErr w:type="spell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الدار الجامعية، بيروت، د س ن.</w:t>
      </w:r>
    </w:p>
    <w:p w:rsidR="00062CF3" w:rsidRPr="00F42F7B" w:rsidRDefault="00062CF3" w:rsidP="00062CF3">
      <w:pPr>
        <w:pStyle w:val="Paragraphedeliste"/>
        <w:numPr>
          <w:ilvl w:val="0"/>
          <w:numId w:val="4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محمود</w:t>
      </w:r>
      <w:proofErr w:type="gramEnd"/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مرشحة، </w:t>
      </w:r>
      <w:r w:rsidRPr="00F42F7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F42F7B">
        <w:rPr>
          <w:rFonts w:ascii="Simplified Arabic" w:hAnsi="Simplified Arabic" w:cs="Simplified Arabic"/>
          <w:sz w:val="32"/>
          <w:szCs w:val="32"/>
          <w:rtl/>
          <w:lang w:val="en-US"/>
        </w:rPr>
        <w:t>، منشورات جامعة حلب، كلية الحقوق، 2009/2010</w:t>
      </w:r>
    </w:p>
    <w:p w:rsidR="00062CF3" w:rsidRPr="005B6617" w:rsidRDefault="00062CF3" w:rsidP="00062CF3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p w:rsidR="00062CF3" w:rsidRPr="00642470" w:rsidRDefault="00062CF3" w:rsidP="00062CF3">
      <w:pPr>
        <w:rPr>
          <w:lang w:val="en-US" w:bidi="ar-DZ"/>
        </w:rPr>
      </w:pPr>
    </w:p>
    <w:p w:rsidR="00062CF3" w:rsidRPr="00062CF3" w:rsidRDefault="00062CF3">
      <w:pPr>
        <w:rPr>
          <w:lang w:val="en-US" w:bidi="ar-DZ"/>
        </w:rPr>
      </w:pPr>
    </w:p>
    <w:sectPr w:rsidR="00062CF3" w:rsidRPr="00062CF3" w:rsidSect="00062CF3">
      <w:headerReference w:type="default" r:id="rId8"/>
      <w:pgSz w:w="11906" w:h="16838"/>
      <w:pgMar w:top="851" w:right="170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126" w:rsidRDefault="00E07126" w:rsidP="00062CF3">
      <w:r>
        <w:separator/>
      </w:r>
    </w:p>
  </w:endnote>
  <w:endnote w:type="continuationSeparator" w:id="1">
    <w:p w:rsidR="00E07126" w:rsidRDefault="00E07126" w:rsidP="0006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126" w:rsidRDefault="00E07126" w:rsidP="00062CF3">
      <w:r>
        <w:separator/>
      </w:r>
    </w:p>
  </w:footnote>
  <w:footnote w:type="continuationSeparator" w:id="1">
    <w:p w:rsidR="00E07126" w:rsidRDefault="00E07126" w:rsidP="00062CF3">
      <w:r>
        <w:continuationSeparator/>
      </w:r>
    </w:p>
  </w:footnote>
  <w:footnote w:id="2">
    <w:p w:rsidR="00062CF3" w:rsidRPr="00A9515E" w:rsidRDefault="00062CF3" w:rsidP="00062CF3">
      <w:pPr>
        <w:pStyle w:val="Notedebasdepage"/>
        <w:rPr>
          <w:rFonts w:ascii="Simplified Arabic" w:eastAsiaTheme="minorHAnsi" w:hAnsi="Simplified Arabic" w:cs="Simplified Arabic"/>
          <w:sz w:val="24"/>
          <w:szCs w:val="24"/>
          <w:lang w:val="fr-FR" w:bidi="ar-DZ"/>
        </w:rPr>
      </w:pPr>
      <w:r w:rsidRPr="000075EC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val="fr-FR" w:bidi="ar-DZ"/>
        </w:rPr>
        <w:t>(1)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 xml:space="preserve">  انظر المادة 02/1 من ميثاق </w:t>
      </w:r>
      <w:proofErr w:type="spell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>الامم</w:t>
      </w:r>
      <w:proofErr w:type="spell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 xml:space="preserve"> المتحدة .</w:t>
      </w:r>
    </w:p>
  </w:footnote>
  <w:footnote w:id="3">
    <w:p w:rsidR="00062CF3" w:rsidRPr="00A9515E" w:rsidRDefault="00062CF3" w:rsidP="00062CF3">
      <w:pPr>
        <w:pStyle w:val="Notedebasdepage"/>
        <w:rPr>
          <w:rFonts w:ascii="Simplified Arabic" w:hAnsi="Simplified Arabic" w:cs="Simplified Arabic"/>
          <w:sz w:val="24"/>
          <w:szCs w:val="24"/>
          <w:lang w:bidi="ar-DZ"/>
        </w:rPr>
      </w:pPr>
      <w:r w:rsidRPr="000075EC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val="fr-FR" w:bidi="ar-DZ"/>
        </w:rPr>
        <w:t>(2)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 xml:space="preserve"> انظر </w:t>
      </w:r>
      <w:proofErr w:type="gram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>المادة</w:t>
      </w:r>
      <w:proofErr w:type="gram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 xml:space="preserve"> 02/7 من الميثاق نفسه.</w:t>
      </w:r>
    </w:p>
  </w:footnote>
  <w:footnote w:id="4">
    <w:p w:rsidR="00062CF3" w:rsidRPr="00A9515E" w:rsidRDefault="00062CF3" w:rsidP="00062CF3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0075EC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val="fr-FR" w:bidi="ar-DZ"/>
        </w:rPr>
        <w:t>(3)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عمر سعد الله، احمد </w:t>
      </w:r>
      <w:proofErr w:type="gramStart"/>
      <w:r w:rsidRPr="00A9515E">
        <w:rPr>
          <w:rFonts w:ascii="Simplified Arabic" w:hAnsi="Simplified Arabic" w:cs="Simplified Arabic"/>
          <w:sz w:val="24"/>
          <w:szCs w:val="24"/>
          <w:rtl/>
        </w:rPr>
        <w:t>بن</w:t>
      </w:r>
      <w:proofErr w:type="gramEnd"/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 ناصر، </w:t>
      </w:r>
      <w:r w:rsidRPr="00A9515E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قانون المجتمع الدولي المعاصر</w:t>
      </w:r>
      <w:r w:rsidRPr="00A9515E">
        <w:rPr>
          <w:rFonts w:ascii="Simplified Arabic" w:hAnsi="Simplified Arabic" w:cs="Simplified Arabic"/>
          <w:sz w:val="24"/>
          <w:szCs w:val="24"/>
          <w:rtl/>
        </w:rPr>
        <w:t xml:space="preserve">، 2000، المرجع السابق، ص70. </w:t>
      </w:r>
    </w:p>
  </w:footnote>
  <w:footnote w:id="5">
    <w:p w:rsidR="00062CF3" w:rsidRDefault="00062CF3" w:rsidP="00062CF3">
      <w:pPr>
        <w:pStyle w:val="Notedebasdepage"/>
      </w:pPr>
      <w:r w:rsidRPr="00BB4D84">
        <w:rPr>
          <w:rFonts w:ascii="Simplified Arabic" w:hAnsi="Simplified Arabic" w:cs="Simplified Arabic"/>
          <w:sz w:val="24"/>
          <w:szCs w:val="24"/>
          <w:vertAlign w:val="superscript"/>
          <w:rtl/>
        </w:rPr>
        <w:t>(</w:t>
      </w:r>
      <w:r>
        <w:rPr>
          <w:rFonts w:ascii="Simplified Arabic" w:hAnsi="Simplified Arabic" w:cs="Simplified Arabic" w:hint="cs"/>
          <w:sz w:val="24"/>
          <w:szCs w:val="24"/>
          <w:vertAlign w:val="superscript"/>
          <w:rtl/>
        </w:rPr>
        <w:t>4</w:t>
      </w:r>
      <w:r w:rsidRPr="00BB4D84">
        <w:rPr>
          <w:rFonts w:ascii="Simplified Arabic" w:hAnsi="Simplified Arabic" w:cs="Simplified Arabic"/>
          <w:sz w:val="24"/>
          <w:szCs w:val="24"/>
          <w:vertAlign w:val="superscript"/>
          <w:rtl/>
        </w:rPr>
        <w:t>)</w:t>
      </w:r>
      <w:r w:rsidRPr="00BB4D8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B4D84">
        <w:rPr>
          <w:rFonts w:ascii="Simplified Arabic" w:hAnsi="Simplified Arabic" w:cs="Simplified Arabic" w:hint="cs"/>
          <w:sz w:val="24"/>
          <w:szCs w:val="24"/>
          <w:rtl/>
        </w:rPr>
        <w:t xml:space="preserve">جوزيف </w:t>
      </w:r>
      <w:proofErr w:type="spellStart"/>
      <w:r w:rsidRPr="00BB4D84">
        <w:rPr>
          <w:rFonts w:ascii="Simplified Arabic" w:hAnsi="Simplified Arabic" w:cs="Simplified Arabic" w:hint="cs"/>
          <w:sz w:val="24"/>
          <w:szCs w:val="24"/>
          <w:rtl/>
        </w:rPr>
        <w:t>فرانكل</w:t>
      </w:r>
      <w:proofErr w:type="spellEnd"/>
      <w:r w:rsidRPr="00BB4D84">
        <w:rPr>
          <w:rFonts w:ascii="Simplified Arabic" w:hAnsi="Simplified Arabic" w:cs="Simplified Arabic" w:hint="cs"/>
          <w:sz w:val="24"/>
          <w:szCs w:val="24"/>
          <w:rtl/>
        </w:rPr>
        <w:t>، المرجع السابق، ص25.</w:t>
      </w:r>
    </w:p>
  </w:footnote>
  <w:footnote w:id="6">
    <w:p w:rsidR="00062CF3" w:rsidRPr="005D7031" w:rsidRDefault="00062CF3" w:rsidP="00062CF3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5D7031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5</w:t>
      </w:r>
      <w:r w:rsidRPr="005D7031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5D7031">
        <w:rPr>
          <w:rFonts w:ascii="Simplified Arabic" w:hAnsi="Simplified Arabic" w:cs="Simplified Arabic"/>
          <w:sz w:val="24"/>
          <w:szCs w:val="24"/>
          <w:rtl/>
        </w:rPr>
        <w:t xml:space="preserve">  مبروك غضبان، </w:t>
      </w:r>
      <w:r w:rsidRPr="002C460D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المجتمع الدولي: </w:t>
      </w:r>
      <w:proofErr w:type="spellStart"/>
      <w:r w:rsidRPr="002C460D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الاصول</w:t>
      </w:r>
      <w:proofErr w:type="spellEnd"/>
      <w:r w:rsidRPr="002C460D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والتطور </w:t>
      </w:r>
      <w:proofErr w:type="spellStart"/>
      <w:r w:rsidRPr="002C460D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والاشخاص</w:t>
      </w:r>
      <w:proofErr w:type="spellEnd"/>
      <w:r w:rsidRPr="005D7031">
        <w:rPr>
          <w:rFonts w:ascii="Simplified Arabic" w:hAnsi="Simplified Arabic" w:cs="Simplified Arabic"/>
          <w:sz w:val="24"/>
          <w:szCs w:val="24"/>
          <w:rtl/>
        </w:rPr>
        <w:t xml:space="preserve">، القسم الثاني، المرجع السابق، ص </w:t>
      </w:r>
      <w:r w:rsidRPr="005D7031">
        <w:rPr>
          <w:rFonts w:ascii="Simplified Arabic" w:hAnsi="Simplified Arabic" w:cs="Simplified Arabic" w:hint="cs"/>
          <w:sz w:val="24"/>
          <w:szCs w:val="24"/>
          <w:rtl/>
        </w:rPr>
        <w:t>411</w:t>
      </w:r>
      <w:r w:rsidRPr="005D7031">
        <w:rPr>
          <w:rFonts w:ascii="Simplified Arabic" w:hAnsi="Simplified Arabic" w:cs="Simplified Arabic"/>
          <w:sz w:val="24"/>
          <w:szCs w:val="24"/>
          <w:rtl/>
        </w:rPr>
        <w:t>.</w:t>
      </w:r>
    </w:p>
  </w:footnote>
  <w:footnote w:id="7">
    <w:p w:rsidR="00062CF3" w:rsidRPr="007407A3" w:rsidRDefault="00062CF3" w:rsidP="00062CF3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7407A3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(1)</w:t>
      </w:r>
      <w:r w:rsidRPr="007407A3">
        <w:rPr>
          <w:rFonts w:ascii="Simplified Arabic" w:hAnsi="Simplified Arabic" w:cs="Simplified Arabic"/>
          <w:sz w:val="24"/>
          <w:szCs w:val="24"/>
          <w:rtl/>
        </w:rPr>
        <w:t xml:space="preserve"> مبروك غضبان، </w:t>
      </w:r>
      <w:r w:rsidRPr="00E352A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المجتمع الدولي: </w:t>
      </w:r>
      <w:proofErr w:type="spellStart"/>
      <w:r w:rsidRPr="00E352A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الاصول</w:t>
      </w:r>
      <w:proofErr w:type="spellEnd"/>
      <w:r w:rsidRPr="00E352A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والتطور </w:t>
      </w:r>
      <w:proofErr w:type="spellStart"/>
      <w:r w:rsidRPr="00E352A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والاشخاص</w:t>
      </w:r>
      <w:proofErr w:type="spellEnd"/>
      <w:r w:rsidRPr="007407A3">
        <w:rPr>
          <w:rFonts w:ascii="Simplified Arabic" w:hAnsi="Simplified Arabic" w:cs="Simplified Arabic"/>
          <w:sz w:val="24"/>
          <w:szCs w:val="24"/>
          <w:rtl/>
        </w:rPr>
        <w:t>، القسم الثاني، المرجع السابق، ص42</w:t>
      </w:r>
      <w:r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7407A3">
        <w:rPr>
          <w:rFonts w:ascii="Simplified Arabic" w:hAnsi="Simplified Arabic" w:cs="Simplified Arabic"/>
          <w:sz w:val="24"/>
          <w:szCs w:val="24"/>
          <w:rtl/>
        </w:rPr>
        <w:t>، 425.</w:t>
      </w:r>
    </w:p>
  </w:footnote>
  <w:footnote w:id="8">
    <w:p w:rsidR="00062CF3" w:rsidRPr="00A9515E" w:rsidRDefault="00062CF3" w:rsidP="00062CF3">
      <w:pPr>
        <w:pStyle w:val="Notedebasdepage"/>
        <w:rPr>
          <w:rFonts w:ascii="Simplified Arabic" w:hAnsi="Simplified Arabic" w:cs="Simplified Arabic"/>
          <w:sz w:val="24"/>
          <w:szCs w:val="24"/>
        </w:rPr>
      </w:pPr>
      <w:r w:rsidRPr="000075EC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(1</w:t>
      </w:r>
      <w:r w:rsidRPr="000075EC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)</w:t>
      </w:r>
      <w:r w:rsidRPr="000075EC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 </w:t>
      </w:r>
      <w:proofErr w:type="gramStart"/>
      <w:r w:rsidRPr="00184125">
        <w:rPr>
          <w:rFonts w:ascii="Simplified Arabic" w:hAnsi="Simplified Arabic" w:cs="Simplified Arabic"/>
          <w:b/>
          <w:bCs/>
          <w:sz w:val="22"/>
          <w:szCs w:val="22"/>
          <w:u w:val="single"/>
          <w:rtl/>
        </w:rPr>
        <w:t>نقلا</w:t>
      </w:r>
      <w:proofErr w:type="gramEnd"/>
      <w:r w:rsidRPr="00184125">
        <w:rPr>
          <w:rFonts w:ascii="Simplified Arabic" w:hAnsi="Simplified Arabic" w:cs="Simplified Arabic"/>
          <w:b/>
          <w:bCs/>
          <w:sz w:val="22"/>
          <w:szCs w:val="22"/>
          <w:u w:val="single"/>
          <w:rtl/>
        </w:rPr>
        <w:t xml:space="preserve"> عن</w:t>
      </w:r>
      <w:r w:rsidRPr="00184125">
        <w:rPr>
          <w:rFonts w:ascii="Simplified Arabic" w:hAnsi="Simplified Arabic" w:cs="Simplified Arabic"/>
          <w:sz w:val="22"/>
          <w:szCs w:val="22"/>
          <w:rtl/>
        </w:rPr>
        <w:t xml:space="preserve">: عمر سعد الله، احمد بن ناصر، </w:t>
      </w:r>
      <w:r w:rsidRPr="00184125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DZ"/>
        </w:rPr>
        <w:t>قانون المجتمع الدولي المعاصر</w:t>
      </w:r>
      <w:r w:rsidRPr="00184125">
        <w:rPr>
          <w:rFonts w:ascii="Simplified Arabic" w:hAnsi="Simplified Arabic" w:cs="Simplified Arabic" w:hint="cs"/>
          <w:sz w:val="22"/>
          <w:szCs w:val="22"/>
          <w:rtl/>
          <w:lang w:bidi="ar-DZ"/>
        </w:rPr>
        <w:t>،</w:t>
      </w:r>
      <w:r w:rsidRPr="00184125">
        <w:rPr>
          <w:rFonts w:ascii="Simplified Arabic" w:hAnsi="Simplified Arabic" w:cs="Simplified Arabic"/>
          <w:sz w:val="22"/>
          <w:szCs w:val="22"/>
          <w:rtl/>
        </w:rPr>
        <w:t xml:space="preserve"> ط5، 2009، المرجع السابق، ص</w:t>
      </w:r>
      <w:r w:rsidRPr="00184125">
        <w:rPr>
          <w:rFonts w:ascii="Simplified Arabic" w:hAnsi="Simplified Arabic" w:cs="Simplified Arabic"/>
          <w:rtl/>
        </w:rPr>
        <w:t>95</w:t>
      </w:r>
      <w:r w:rsidRPr="00184125">
        <w:rPr>
          <w:rFonts w:ascii="Simplified Arabic" w:hAnsi="Simplified Arabic" w:cs="Simplified Arabic"/>
          <w:sz w:val="22"/>
          <w:szCs w:val="22"/>
          <w:rtl/>
        </w:rPr>
        <w:t xml:space="preserve">، </w:t>
      </w:r>
      <w:r w:rsidRPr="00184125">
        <w:rPr>
          <w:rFonts w:ascii="Simplified Arabic" w:hAnsi="Simplified Arabic" w:cs="Simplified Arabic"/>
          <w:rtl/>
        </w:rPr>
        <w:t>96</w:t>
      </w:r>
      <w:r w:rsidRPr="00184125">
        <w:rPr>
          <w:rFonts w:ascii="Simplified Arabic" w:hAnsi="Simplified Arabic" w:cs="Simplified Arabic"/>
          <w:sz w:val="22"/>
          <w:szCs w:val="22"/>
          <w:rtl/>
        </w:rPr>
        <w:t>.</w:t>
      </w:r>
    </w:p>
  </w:footnote>
  <w:footnote w:id="9">
    <w:p w:rsidR="00062CF3" w:rsidRDefault="00062CF3" w:rsidP="00062CF3">
      <w:pPr>
        <w:pStyle w:val="Notedebasdepage"/>
      </w:pPr>
      <w:r w:rsidRPr="00E14268">
        <w:rPr>
          <w:rStyle w:val="Appelnotedebasdep"/>
          <w:rFonts w:ascii="Simplified Arabic" w:hAnsi="Simplified Arabic" w:cs="Simplified Arabic"/>
          <w:sz w:val="24"/>
          <w:szCs w:val="24"/>
          <w:rtl/>
        </w:rPr>
        <w:t>(</w:t>
      </w:r>
      <w:r>
        <w:rPr>
          <w:rStyle w:val="Appelnotedebasdep"/>
          <w:rFonts w:ascii="Simplified Arabic" w:hAnsi="Simplified Arabic" w:cs="Simplified Arabic" w:hint="cs"/>
          <w:sz w:val="24"/>
          <w:szCs w:val="24"/>
          <w:rtl/>
        </w:rPr>
        <w:t>2</w:t>
      </w:r>
      <w:r w:rsidRPr="00E14268">
        <w:rPr>
          <w:rStyle w:val="Appelnotedebasdep"/>
          <w:rFonts w:ascii="Simplified Arabic" w:hAnsi="Simplified Arabic" w:cs="Simplified Arabic"/>
          <w:sz w:val="24"/>
          <w:szCs w:val="24"/>
          <w:rtl/>
        </w:rPr>
        <w:t>)</w:t>
      </w:r>
      <w:r w:rsidRPr="00E14268">
        <w:rPr>
          <w:sz w:val="24"/>
          <w:szCs w:val="24"/>
          <w:rtl/>
        </w:rPr>
        <w:t xml:space="preserve"> </w:t>
      </w:r>
      <w:r w:rsidRPr="00E14268">
        <w:rPr>
          <w:rFonts w:hint="cs"/>
          <w:sz w:val="24"/>
          <w:szCs w:val="24"/>
          <w:rtl/>
        </w:rPr>
        <w:t xml:space="preserve"> 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علي خليل </w:t>
      </w:r>
      <w:proofErr w:type="spell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اسماعيل</w:t>
      </w:r>
      <w:proofErr w:type="spell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 </w:t>
      </w:r>
      <w:proofErr w:type="spell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>الحديثي</w:t>
      </w:r>
      <w:proofErr w:type="spell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bidi="ar-DZ"/>
        </w:rPr>
        <w:t xml:space="preserve">، </w:t>
      </w:r>
      <w:r w:rsidRPr="00AB43CC"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المرجع السابق، ص</w:t>
      </w:r>
      <w:r>
        <w:rPr>
          <w:rFonts w:ascii="Simplified Arabic" w:eastAsiaTheme="minorHAnsi" w:hAnsi="Simplified Arabic" w:cs="Simplified Arabic" w:hint="cs"/>
          <w:sz w:val="24"/>
          <w:szCs w:val="24"/>
          <w:rtl/>
          <w:lang w:bidi="ar-DZ"/>
        </w:rPr>
        <w:t>145.</w:t>
      </w:r>
    </w:p>
  </w:footnote>
  <w:footnote w:id="10">
    <w:p w:rsidR="00062CF3" w:rsidRPr="00A9515E" w:rsidRDefault="00062CF3" w:rsidP="00062CF3">
      <w:pPr>
        <w:pStyle w:val="Notedebasdepage"/>
        <w:rPr>
          <w:rFonts w:ascii="Simplified Arabic" w:hAnsi="Simplified Arabic" w:cs="Simplified Arabic"/>
          <w:sz w:val="24"/>
          <w:szCs w:val="24"/>
          <w:lang w:bidi="ar-DZ"/>
        </w:rPr>
      </w:pPr>
      <w:r w:rsidRPr="00386931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val="fr-FR" w:bidi="ar-DZ"/>
        </w:rPr>
        <w:t>(</w:t>
      </w:r>
      <w:r>
        <w:rPr>
          <w:rFonts w:ascii="Simplified Arabic" w:eastAsiaTheme="minorHAnsi" w:hAnsi="Simplified Arabic" w:cs="Simplified Arabic" w:hint="cs"/>
          <w:sz w:val="24"/>
          <w:szCs w:val="24"/>
          <w:vertAlign w:val="superscript"/>
          <w:rtl/>
          <w:lang w:val="fr-FR" w:bidi="ar-DZ"/>
        </w:rPr>
        <w:t>3</w:t>
      </w:r>
      <w:r w:rsidRPr="00386931">
        <w:rPr>
          <w:rFonts w:ascii="Simplified Arabic" w:eastAsiaTheme="minorHAnsi" w:hAnsi="Simplified Arabic" w:cs="Simplified Arabic"/>
          <w:sz w:val="24"/>
          <w:szCs w:val="24"/>
          <w:vertAlign w:val="superscript"/>
          <w:rtl/>
          <w:lang w:val="fr-FR" w:bidi="ar-DZ"/>
        </w:rPr>
        <w:t>)</w:t>
      </w:r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 xml:space="preserve">  انظر المادة 02/ 02 من ميثاق </w:t>
      </w:r>
      <w:proofErr w:type="spellStart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>الامم</w:t>
      </w:r>
      <w:proofErr w:type="spellEnd"/>
      <w:r w:rsidRPr="00A9515E">
        <w:rPr>
          <w:rFonts w:ascii="Simplified Arabic" w:eastAsiaTheme="minorHAnsi" w:hAnsi="Simplified Arabic" w:cs="Simplified Arabic"/>
          <w:sz w:val="24"/>
          <w:szCs w:val="24"/>
          <w:rtl/>
          <w:lang w:val="fr-FR" w:bidi="ar-DZ"/>
        </w:rPr>
        <w:t xml:space="preserve"> المتحدة.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  <w:rtl/>
      </w:rPr>
      <w:alias w:val="Titr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62CF3" w:rsidRDefault="00062CF3" w:rsidP="00062CF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الدرس: 09                                                                               </w:t>
        </w: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مجتمع  دولي</w:t>
        </w:r>
        <w:proofErr w:type="gramEnd"/>
      </w:p>
    </w:sdtContent>
  </w:sdt>
  <w:p w:rsidR="00062CF3" w:rsidRDefault="00062CF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>
    <w:nsid w:val="44681914"/>
    <w:multiLevelType w:val="hybridMultilevel"/>
    <w:tmpl w:val="0952CB5A"/>
    <w:lvl w:ilvl="0" w:tplc="ECEA5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AE0A1D"/>
    <w:multiLevelType w:val="hybridMultilevel"/>
    <w:tmpl w:val="6CA8E812"/>
    <w:lvl w:ilvl="0" w:tplc="8F4E4050">
      <w:start w:val="1"/>
      <w:numFmt w:val="arabicAlpha"/>
      <w:lvlText w:val="%1-"/>
      <w:lvlJc w:val="left"/>
      <w:pPr>
        <w:ind w:left="718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7B274C93"/>
    <w:multiLevelType w:val="hybridMultilevel"/>
    <w:tmpl w:val="5ABE9D7A"/>
    <w:lvl w:ilvl="0" w:tplc="F4FACA7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CF3"/>
    <w:rsid w:val="000328BA"/>
    <w:rsid w:val="00062CF3"/>
    <w:rsid w:val="00184125"/>
    <w:rsid w:val="002C3C5D"/>
    <w:rsid w:val="00404D3C"/>
    <w:rsid w:val="00600697"/>
    <w:rsid w:val="008B3F07"/>
    <w:rsid w:val="00A76165"/>
    <w:rsid w:val="00BA2B63"/>
    <w:rsid w:val="00E0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F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062CF3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062CF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062CF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62C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2CF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62CF3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062CF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2CF3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C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CF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1160</Words>
  <Characters>6386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الدرس: 09                                                                               مجتمع  دولي</dc:title>
  <dc:creator>Utilisateur</dc:creator>
  <cp:lastModifiedBy>Fac_Droits_1</cp:lastModifiedBy>
  <cp:revision>4</cp:revision>
  <dcterms:created xsi:type="dcterms:W3CDTF">2024-11-07T13:17:00Z</dcterms:created>
  <dcterms:modified xsi:type="dcterms:W3CDTF">2025-10-27T11:44:00Z</dcterms:modified>
</cp:coreProperties>
</file>