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F123" w14:textId="77777777" w:rsidR="004144DE" w:rsidRDefault="004144DE" w:rsidP="004144DE">
      <w:pPr>
        <w:bidi/>
        <w:spacing w:after="120"/>
        <w:rPr>
          <w:rFonts w:ascii="Simplified Arabic" w:hAnsi="Simplified Arabic" w:cs="Simplified Arabic"/>
          <w:b/>
          <w:bCs/>
          <w:sz w:val="28"/>
          <w:szCs w:val="36"/>
          <w:u w:val="single"/>
          <w:rtl/>
          <w:lang w:bidi="ar-DZ"/>
        </w:rPr>
      </w:pPr>
      <w:r>
        <w:rPr>
          <w:rFonts w:ascii="Simplified Arabic" w:hAnsi="Simplified Arabic" w:cs="Simplified Arabic" w:hint="cs"/>
          <w:b/>
          <w:bCs/>
          <w:sz w:val="28"/>
          <w:szCs w:val="36"/>
          <w:u w:val="single"/>
          <w:rtl/>
          <w:lang w:bidi="ar-DZ"/>
        </w:rPr>
        <w:t xml:space="preserve">محاضرات في قانون المنافسة </w:t>
      </w:r>
    </w:p>
    <w:p w14:paraId="3FF684BC" w14:textId="7395E5C0" w:rsidR="004144DE" w:rsidRDefault="004144DE" w:rsidP="004144DE">
      <w:pPr>
        <w:bidi/>
        <w:spacing w:after="120"/>
        <w:rPr>
          <w:rFonts w:ascii="Simplified Arabic" w:hAnsi="Simplified Arabic" w:cs="Simplified Arabic"/>
          <w:b/>
          <w:bCs/>
          <w:sz w:val="28"/>
          <w:szCs w:val="36"/>
          <w:u w:val="single"/>
          <w:rtl/>
          <w:lang w:bidi="ar-DZ"/>
        </w:rPr>
      </w:pPr>
      <w:r>
        <w:rPr>
          <w:rFonts w:ascii="Simplified Arabic" w:hAnsi="Simplified Arabic" w:cs="Simplified Arabic" w:hint="cs"/>
          <w:b/>
          <w:bCs/>
          <w:sz w:val="28"/>
          <w:szCs w:val="36"/>
          <w:u w:val="single"/>
          <w:rtl/>
          <w:lang w:bidi="ar-DZ"/>
        </w:rPr>
        <w:t xml:space="preserve">المحاضرة </w:t>
      </w:r>
      <w:r w:rsidR="0071044E">
        <w:rPr>
          <w:rFonts w:ascii="Simplified Arabic" w:hAnsi="Simplified Arabic" w:cs="Simplified Arabic" w:hint="cs"/>
          <w:b/>
          <w:bCs/>
          <w:sz w:val="28"/>
          <w:szCs w:val="36"/>
          <w:u w:val="single"/>
          <w:rtl/>
          <w:lang w:bidi="ar-DZ"/>
        </w:rPr>
        <w:t>الاولى</w:t>
      </w:r>
      <w:r>
        <w:rPr>
          <w:rFonts w:ascii="Simplified Arabic" w:hAnsi="Simplified Arabic" w:cs="Simplified Arabic" w:hint="cs"/>
          <w:b/>
          <w:bCs/>
          <w:sz w:val="28"/>
          <w:szCs w:val="36"/>
          <w:u w:val="single"/>
          <w:rtl/>
          <w:lang w:bidi="ar-DZ"/>
        </w:rPr>
        <w:t>: نش</w:t>
      </w:r>
      <w:r w:rsidR="002461E0">
        <w:rPr>
          <w:rFonts w:ascii="Simplified Arabic" w:hAnsi="Simplified Arabic" w:cs="Simplified Arabic" w:hint="cs"/>
          <w:b/>
          <w:bCs/>
          <w:sz w:val="28"/>
          <w:szCs w:val="36"/>
          <w:u w:val="single"/>
          <w:rtl/>
          <w:lang w:bidi="ar-DZ"/>
        </w:rPr>
        <w:t>اة</w:t>
      </w:r>
      <w:r>
        <w:rPr>
          <w:rFonts w:ascii="Simplified Arabic" w:hAnsi="Simplified Arabic" w:cs="Simplified Arabic" w:hint="cs"/>
          <w:b/>
          <w:bCs/>
          <w:sz w:val="28"/>
          <w:szCs w:val="36"/>
          <w:u w:val="single"/>
          <w:rtl/>
          <w:lang w:bidi="ar-DZ"/>
        </w:rPr>
        <w:t xml:space="preserve"> وتطور قانون المنافسة </w:t>
      </w:r>
    </w:p>
    <w:p w14:paraId="6F4F02E6"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المنافسة هي الديمقراطية الاقتصادية التي تقوم عليها اقتصاديات العالم المختلفة حاليًا. وقانون المنافسة هو التشريع الذي ينظم ممارستها بهدف ضمان أداءها لدوها الفعال في التقدم الاقتصادي وتفادي أن يساء استخدامها لتحقيق مآرب شخصية تؤدي إلى انحراف المنافسة عن دورها الأساسي في السوق.</w:t>
      </w:r>
    </w:p>
    <w:p w14:paraId="452F3341"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لهذا فقانون المنافسة هو من أهم الآليات القانونية المعتمدة لتنظيم نشاط المتدخلين في السوق.</w:t>
      </w:r>
    </w:p>
    <w:p w14:paraId="3ECE2EA3" w14:textId="77777777" w:rsidR="004144DE" w:rsidRDefault="004144DE" w:rsidP="004144DE">
      <w:pPr>
        <w:bidi/>
        <w:spacing w:after="12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أولا : التطور التاريخي لقانون المنافسة</w:t>
      </w:r>
    </w:p>
    <w:p w14:paraId="06DFFDE2" w14:textId="77777777" w:rsidR="004144DE" w:rsidRDefault="004144DE" w:rsidP="004144DE">
      <w:pPr>
        <w:pStyle w:val="ListParagraph"/>
        <w:numPr>
          <w:ilvl w:val="0"/>
          <w:numId w:val="1"/>
        </w:numPr>
        <w:bidi/>
        <w:spacing w:after="120"/>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في القوانين الوضعية :</w:t>
      </w:r>
    </w:p>
    <w:p w14:paraId="5A1B7255"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ظهر قانون المنافسة في أمريكا فالممارسة الاقتصادية الحرة المطلقة في أمريكا أدت إلى ظهور ممارسات مقيدة للمنافسة فتجلت الحاجة إلى وضع تشريع فدرالي مضاد لها.</w:t>
      </w:r>
    </w:p>
    <w:p w14:paraId="69FE1FA9"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إذ تبنت أمريكا بعد استقلالها مبدأ إطلاق الحرية الاقتصادية و لم تكن الدولة الامريكية تتدخل في الشؤون الاقتصادية إلا بالقدر اللازم لصيانة حقوق الانسان و الملكية الخاصة . فشهد القرن التاسع عشر بداية الفردية الاقتصادية الامريكية أدت إلى فترة من النمو الاقتصادي غير المقيد يرتكز على التقدم التكنولوجي و دفع أمريكا إلى الاتجاه نحو التصنيع و التخصص . </w:t>
      </w:r>
    </w:p>
    <w:p w14:paraId="55118F1A"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هذا التوسع الصناعي أدى إلى تركز القوة الاقتصادية لدى رجال الاعمال و نشأت الاتحادات – كارتلات - قسمت الاسواق بين المتنافسين سواء تعلق الامر بالإقليم الجغرافي أو المبيعات أو براءات الاختراع . </w:t>
      </w:r>
      <w:r>
        <w:rPr>
          <w:rStyle w:val="FootnoteReference"/>
          <w:rFonts w:ascii="Simplified Arabic" w:hAnsi="Simplified Arabic" w:cs="Simplified Arabic"/>
          <w:sz w:val="28"/>
          <w:szCs w:val="32"/>
          <w:rtl/>
          <w:lang w:bidi="ar-DZ"/>
        </w:rPr>
        <w:footnoteReference w:id="1"/>
      </w:r>
    </w:p>
    <w:p w14:paraId="1DABCA30"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فصدرت قوانين مكافحة الممارسات المقيدة لحريتي المنافسة والتجارة والتي أطلق عليها مصطلح </w:t>
      </w:r>
      <w:r>
        <w:rPr>
          <w:rFonts w:ascii="Simplified Arabic" w:hAnsi="Simplified Arabic" w:cs="Simplified Arabic"/>
          <w:sz w:val="28"/>
          <w:szCs w:val="32"/>
          <w:lang w:bidi="ar-DZ"/>
        </w:rPr>
        <w:t>Antitrust-act</w:t>
      </w:r>
      <w:r>
        <w:rPr>
          <w:rFonts w:ascii="Simplified Arabic" w:hAnsi="Simplified Arabic" w:cs="Simplified Arabic"/>
          <w:sz w:val="28"/>
          <w:szCs w:val="32"/>
          <w:rtl/>
          <w:lang w:bidi="ar-DZ"/>
        </w:rPr>
        <w:t>، والتي كانت تشمل القوانين التالية:</w:t>
      </w:r>
      <w:r>
        <w:rPr>
          <w:rStyle w:val="FootnoteReference"/>
          <w:rFonts w:ascii="Simplified Arabic" w:hAnsi="Simplified Arabic" w:cs="Simplified Arabic"/>
          <w:sz w:val="28"/>
          <w:szCs w:val="32"/>
          <w:rtl/>
          <w:lang w:bidi="ar-DZ"/>
        </w:rPr>
        <w:footnoteReference w:id="2"/>
      </w:r>
    </w:p>
    <w:p w14:paraId="627862EF" w14:textId="77777777" w:rsidR="004144DE" w:rsidRDefault="004144DE" w:rsidP="004144DE">
      <w:pPr>
        <w:pStyle w:val="ListParagraph"/>
        <w:numPr>
          <w:ilvl w:val="0"/>
          <w:numId w:val="2"/>
        </w:numPr>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قانون شيرمان </w:t>
      </w:r>
      <w:r>
        <w:rPr>
          <w:rFonts w:ascii="Simplified Arabic" w:hAnsi="Simplified Arabic" w:cs="Simplified Arabic"/>
          <w:sz w:val="28"/>
          <w:szCs w:val="32"/>
          <w:lang w:bidi="ar-DZ"/>
        </w:rPr>
        <w:t>(Sherman act 1890)</w:t>
      </w:r>
      <w:r>
        <w:rPr>
          <w:rFonts w:ascii="Simplified Arabic" w:hAnsi="Simplified Arabic" w:cs="Simplified Arabic"/>
          <w:sz w:val="28"/>
          <w:szCs w:val="32"/>
          <w:rtl/>
          <w:lang w:bidi="ar-DZ"/>
        </w:rPr>
        <w:t xml:space="preserve"> هو أول قانون فيدرالي تضمن نصوصا تحمي حريتي التجارة والمنافسة  عن طريق منع كل التعاقدات أو التكتلات أو التواطؤات المقيدة لحريتي التجارة والمنافسة خصوصا ما يتعلق بتكوين الاحتكارات أو التواطؤ لتكوينها.</w:t>
      </w:r>
    </w:p>
    <w:p w14:paraId="3F786050" w14:textId="77777777" w:rsidR="004144DE" w:rsidRDefault="004144DE" w:rsidP="004144DE">
      <w:pPr>
        <w:pStyle w:val="ListParagraph"/>
        <w:numPr>
          <w:ilvl w:val="0"/>
          <w:numId w:val="2"/>
        </w:numPr>
        <w:tabs>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قانون كلايتون </w:t>
      </w:r>
      <w:r>
        <w:rPr>
          <w:rFonts w:ascii="Simplified Arabic" w:hAnsi="Simplified Arabic" w:cs="Simplified Arabic"/>
          <w:sz w:val="28"/>
          <w:szCs w:val="32"/>
          <w:lang w:bidi="ar-DZ"/>
        </w:rPr>
        <w:t>(Clayton act 1914)</w:t>
      </w:r>
      <w:r>
        <w:rPr>
          <w:rFonts w:ascii="Simplified Arabic" w:hAnsi="Simplified Arabic" w:cs="Simplified Arabic"/>
          <w:sz w:val="28"/>
          <w:szCs w:val="32"/>
          <w:rtl/>
          <w:lang w:bidi="ar-DZ"/>
        </w:rPr>
        <w:t xml:space="preserve"> وهو ثاني قانون فيدرالي سن لمواجهة الأساليب المقيدة للمنافسة.</w:t>
      </w:r>
    </w:p>
    <w:p w14:paraId="0813AFB6" w14:textId="77777777" w:rsidR="004144DE" w:rsidRDefault="004144DE" w:rsidP="004144DE">
      <w:pPr>
        <w:pStyle w:val="ListParagraph"/>
        <w:numPr>
          <w:ilvl w:val="0"/>
          <w:numId w:val="2"/>
        </w:numPr>
        <w:tabs>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قانون روبنسون </w:t>
      </w:r>
      <w:r>
        <w:rPr>
          <w:rFonts w:ascii="Simplified Arabic" w:hAnsi="Simplified Arabic" w:cs="Simplified Arabic"/>
          <w:sz w:val="28"/>
          <w:szCs w:val="32"/>
          <w:lang w:bidi="ar-DZ"/>
        </w:rPr>
        <w:t>(Robenson- act 1936)</w:t>
      </w:r>
      <w:r>
        <w:rPr>
          <w:rFonts w:ascii="Simplified Arabic" w:hAnsi="Simplified Arabic" w:cs="Simplified Arabic"/>
          <w:sz w:val="28"/>
          <w:szCs w:val="32"/>
          <w:rtl/>
          <w:lang w:bidi="ar-DZ"/>
        </w:rPr>
        <w:t xml:space="preserve"> وهو قانون معدل لقانون كلايتون يتعلق بحضر التسعير التمييزي.</w:t>
      </w:r>
    </w:p>
    <w:p w14:paraId="76489A01"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ساهم القضاء الأمريكي خاصة المحكمة العليا الامريكية في تطوير قواعد قانون المنافسة. </w:t>
      </w:r>
      <w:r>
        <w:rPr>
          <w:rStyle w:val="FootnoteReference"/>
          <w:rFonts w:ascii="Simplified Arabic" w:hAnsi="Simplified Arabic" w:cs="Simplified Arabic"/>
          <w:sz w:val="28"/>
          <w:szCs w:val="32"/>
          <w:rtl/>
          <w:lang w:bidi="ar-DZ"/>
        </w:rPr>
        <w:footnoteReference w:id="3"/>
      </w:r>
      <w:r>
        <w:rPr>
          <w:rFonts w:ascii="Simplified Arabic" w:hAnsi="Simplified Arabic" w:cs="Simplified Arabic"/>
          <w:sz w:val="28"/>
          <w:szCs w:val="32"/>
          <w:rtl/>
          <w:lang w:bidi="ar-DZ"/>
        </w:rPr>
        <w:t xml:space="preserve"> </w:t>
      </w:r>
    </w:p>
    <w:p w14:paraId="5A48FDBD"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أما في ألمانيا فلقد بدأ الاهتمام بوضع قانون المنافسة منذ سنة 1897 حيث صدر مرسوم في فيفري 1897 قرر بأن اتفاق الكارتل مناف للمنافسة.وزاد الاهتمام بهذا الموضوع بين الحرب العالمية الأولى والثانية . وخلال هذه الفترة صدر أمر في 02 فيفري 1923 أقر مشروعية التواطؤات لكنه حضر التعسف فيها.</w:t>
      </w:r>
      <w:r>
        <w:rPr>
          <w:rStyle w:val="FootnoteReference"/>
          <w:rFonts w:ascii="Simplified Arabic" w:hAnsi="Simplified Arabic" w:cs="Simplified Arabic"/>
          <w:sz w:val="28"/>
          <w:szCs w:val="32"/>
          <w:rtl/>
          <w:lang w:bidi="ar-DZ"/>
        </w:rPr>
        <w:footnoteReference w:id="4"/>
      </w:r>
    </w:p>
    <w:p w14:paraId="3D3B32B9"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لكن الأزمة الاقتصادية بين 1929 و 1932 أظهرت أن هذا التنظيم الغامض لم يحقق أهدافه ، بل كان الغرض منه تعزيز أنظمة الكارتل للدولة الألمانية لتكوين صناعة عسكرية ألمانية قوية. وبعد الحرب العالمية الثانية صدر قانون 10 جويلية 1957 الذي تضمن أحكام قانون حماية المنافسة في ألمانيا الفيدرالية.</w:t>
      </w:r>
      <w:r>
        <w:rPr>
          <w:rStyle w:val="FootnoteReference"/>
          <w:rFonts w:ascii="Simplified Arabic" w:hAnsi="Simplified Arabic" w:cs="Simplified Arabic"/>
          <w:sz w:val="28"/>
          <w:szCs w:val="32"/>
          <w:rtl/>
          <w:lang w:bidi="ar-DZ"/>
        </w:rPr>
        <w:footnoteReference w:id="5"/>
      </w:r>
    </w:p>
    <w:p w14:paraId="2315AEBD"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في فرنسا فقد تم تكريس مبدأ حرية المنافسة في 1791 بعد انتصار الثورة الفرنسية إذ تم الاعتراف بان لكل شخص الحق في ممارسة التجارة و الصناعة التي يراها مناسبة له. فمبدأ حرية المنافسة يعد مبدأ عاما من مبادئ القانون و بعد بمثابة التطبيق العملي لمبدأ حرية التجارة و الصناعة. </w:t>
      </w:r>
    </w:p>
    <w:p w14:paraId="11DD3FBC"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لكن من الناحية التشريعية كانت العمليات المقيدة للمنافسة تخضع للمادة 419 من القانون الجزائي الفرنسي والتي تحظر الاتفاقات المقيدة للمنافسة. ثم صدرت تشريعات تتعلق بالممارسات المقيدة للمنافسة </w:t>
      </w:r>
      <w:r>
        <w:rPr>
          <w:rFonts w:ascii="Simplified Arabic" w:hAnsi="Simplified Arabic" w:cs="Simplified Arabic"/>
          <w:sz w:val="28"/>
          <w:szCs w:val="32"/>
          <w:rtl/>
          <w:lang w:bidi="ar-DZ"/>
        </w:rPr>
        <w:lastRenderedPageBreak/>
        <w:t>وهي المرسوم رقم 45/1983 المنظم للائتمان الصادر في 30 يونيو 1945.</w:t>
      </w:r>
      <w:r>
        <w:rPr>
          <w:rStyle w:val="FootnoteReference"/>
          <w:rFonts w:ascii="Simplified Arabic" w:hAnsi="Simplified Arabic" w:cs="Simplified Arabic"/>
          <w:sz w:val="28"/>
          <w:szCs w:val="32"/>
          <w:rtl/>
          <w:lang w:bidi="ar-DZ"/>
        </w:rPr>
        <w:footnoteReference w:id="6"/>
      </w:r>
      <w:r>
        <w:rPr>
          <w:rFonts w:ascii="Simplified Arabic" w:hAnsi="Simplified Arabic" w:cs="Simplified Arabic"/>
          <w:sz w:val="28"/>
          <w:szCs w:val="32"/>
          <w:rtl/>
          <w:lang w:bidi="ar-DZ"/>
        </w:rPr>
        <w:t>و صدر قانون الصلاحيات الكاملة في 11 يوليو 1953 منح الصلاحيات للحكومة لاتخاذ الإجراءات القانونية التي تراها لازمة للحفاظ على المنافسة الصناعية والتجارية الحرة وتدعيمها. ثم صدر قانون 1967 المعروف بقانون احترام الأمانة في المنافسة الذي نظم الاتفاقات المقيدة للمنافسة. ثم تم تمديد تطبيق هذا القانون إلى إساءة استخدام المركز المسيطر بالقانون الصادر في 02 يوليو 1963. وبموجب القانون الصادر في 1977 تم إدخال عمليات التركز الاقتصادي من الممارسات الخاضعة للرقابة.</w:t>
      </w:r>
      <w:r>
        <w:rPr>
          <w:rStyle w:val="FootnoteReference"/>
          <w:rFonts w:ascii="Simplified Arabic" w:hAnsi="Simplified Arabic" w:cs="Simplified Arabic"/>
          <w:sz w:val="28"/>
          <w:szCs w:val="32"/>
          <w:rtl/>
          <w:lang w:bidi="ar-DZ"/>
        </w:rPr>
        <w:footnoteReference w:id="7"/>
      </w:r>
    </w:p>
    <w:p w14:paraId="6FE2D62D"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هذه القوانين صدرت بعد الحرب العالمية الثانية وعكست توجه الدولة الفرنسية نحو التدخل لضبط الاقتصاد و سعت فرنسا إلى توحيد القانون المنظم للمنافسة. فصدر قانون 1986 المتعلق بحرية الاثمان وحرية المنافسة ليحقق توحيد القواعد المطبقة على الممارسات المقيدة للمنافسة وصدر مرسومه التنفيذي في 29 ديسمبر 1986.</w:t>
      </w:r>
      <w:r>
        <w:rPr>
          <w:rStyle w:val="FootnoteReference"/>
          <w:rFonts w:ascii="Simplified Arabic" w:hAnsi="Simplified Arabic" w:cs="Simplified Arabic"/>
          <w:sz w:val="28"/>
          <w:szCs w:val="32"/>
          <w:rtl/>
          <w:lang w:bidi="ar-DZ"/>
        </w:rPr>
        <w:footnoteReference w:id="8"/>
      </w:r>
      <w:r>
        <w:rPr>
          <w:rFonts w:ascii="Simplified Arabic" w:hAnsi="Simplified Arabic" w:cs="Simplified Arabic"/>
          <w:sz w:val="28"/>
          <w:szCs w:val="32"/>
          <w:rtl/>
          <w:lang w:bidi="ar-DZ"/>
        </w:rPr>
        <w:t xml:space="preserve"> هذا القانون أدمج في القانون التجاري الفرنسي في 20 أفريل 2002 .</w:t>
      </w:r>
      <w:r>
        <w:rPr>
          <w:rStyle w:val="FootnoteReference"/>
          <w:rFonts w:ascii="Simplified Arabic" w:hAnsi="Simplified Arabic" w:cs="Simplified Arabic"/>
          <w:sz w:val="28"/>
          <w:szCs w:val="32"/>
          <w:rtl/>
          <w:lang w:bidi="ar-DZ"/>
        </w:rPr>
        <w:footnoteReference w:id="9"/>
      </w:r>
      <w:r>
        <w:rPr>
          <w:rFonts w:ascii="Simplified Arabic" w:hAnsi="Simplified Arabic" w:cs="Simplified Arabic"/>
          <w:sz w:val="28"/>
          <w:szCs w:val="32"/>
          <w:rtl/>
          <w:lang w:bidi="ar-DZ"/>
        </w:rPr>
        <w:t xml:space="preserve"> </w:t>
      </w:r>
    </w:p>
    <w:p w14:paraId="6C3F761B"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أما على المستوى الأوروبي نجد أن المادة الثالثة من اتفاقية روما التي تأسست بموجبها المجموعة الاقتصادية الأوروبية أكدت على ضرورة احترام المنافسة في الإقليم الداخلي لكل دولة من الدول الأعضاء في المجموعة الاقتصادية الأوروبية وقد زاد الاهتمام بتنظيم المنافسة على المستوى الأوروبي خاصة بعد تكون الاتحاد الأوروبي.</w:t>
      </w:r>
      <w:r>
        <w:rPr>
          <w:rStyle w:val="FootnoteReference"/>
          <w:rFonts w:ascii="Simplified Arabic" w:hAnsi="Simplified Arabic" w:cs="Simplified Arabic"/>
          <w:sz w:val="28"/>
          <w:szCs w:val="32"/>
          <w:rtl/>
          <w:lang w:bidi="ar-DZ"/>
        </w:rPr>
        <w:footnoteReference w:id="10"/>
      </w:r>
    </w:p>
    <w:p w14:paraId="59A2CA17" w14:textId="77777777" w:rsidR="004144DE" w:rsidRDefault="004144DE" w:rsidP="004144DE">
      <w:pPr>
        <w:pStyle w:val="ListParagraph"/>
        <w:numPr>
          <w:ilvl w:val="0"/>
          <w:numId w:val="1"/>
        </w:numPr>
        <w:bidi/>
        <w:spacing w:after="12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موقف الشريعة الإسلامية</w:t>
      </w:r>
    </w:p>
    <w:p w14:paraId="552FBDEE"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يقوم موقف الشريعة الإسلامية في المجال الاقتصادي على تكريس حرية التجارة والمنافسة ومحاربة الاحتكار. فالاقتصاد الإسلامي يقوم على الحق في ممارسة التجارة . وهو حق ممنوح لكل إنسان لكن لا يجوز الغلو أو التعسف فيه. إذ تقوم السياسة الاقتصادية في الإسلام على إطلاق المبادرة الخاصة وحرية سير السوق لتؤدي دورها طبقا لقانون العرض والطلب فالأساس في الإسلام هو الحرية الاقتصادية.</w:t>
      </w:r>
    </w:p>
    <w:p w14:paraId="23962AAE"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لكن ممارسة هذه الحرية ليست مطلقة بل قيدتها مبادئ الشريعة الإسلامية بما يحقق الموازنة بين المصلحة العامة والمصلحة الخاصة عن طريق التدخل في حركة السوق إذا ظهرت أوضاع غير طبيعية كاحتكار بعض التجار وتلاعبهم بالأسعار. فتكون في هذه الحالة مصلحة الجماعة مقدمة على مصلحة الفرد فيمكن التدخل لمنع تحقق الاحتكار.</w:t>
      </w:r>
    </w:p>
    <w:p w14:paraId="52F0192C"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ففي الشريعة الإسلامية يعتبر الاحتكار ظلم يجب محاربته. و لقد حرمت الشريعة الاسلامية الاحتكار و حاربته إذ ورد حديث عن  الرسول (</w:t>
      </w:r>
      <w:r>
        <w:rPr>
          <w:rFonts w:ascii="Simplified Arabic" w:hAnsi="Simplified Arabic" w:cs="Simplified Arabic"/>
          <w:b/>
          <w:bCs/>
          <w:sz w:val="28"/>
          <w:rtl/>
          <w:lang w:bidi="ar-DZ"/>
        </w:rPr>
        <w:t>صلّى الله عليه وسلّم</w:t>
      </w:r>
      <w:r>
        <w:rPr>
          <w:rFonts w:ascii="Simplified Arabic" w:hAnsi="Simplified Arabic" w:cs="Simplified Arabic"/>
          <w:sz w:val="28"/>
          <w:szCs w:val="32"/>
          <w:rtl/>
          <w:lang w:bidi="ar-DZ"/>
        </w:rPr>
        <w:t>): '' أيما رجل اشترى طعاما فكسبه أربعين يريد به غلاء المسلمين ثم باعه و تصدق بثمنه لم يكن كفارة لما صنع ''.</w:t>
      </w:r>
      <w:r>
        <w:rPr>
          <w:rStyle w:val="FootnoteReference"/>
          <w:rFonts w:ascii="Simplified Arabic" w:hAnsi="Simplified Arabic" w:cs="Simplified Arabic"/>
          <w:sz w:val="28"/>
          <w:szCs w:val="32"/>
          <w:rtl/>
          <w:lang w:bidi="ar-DZ"/>
        </w:rPr>
        <w:t xml:space="preserve"> </w:t>
      </w:r>
      <w:r>
        <w:rPr>
          <w:rStyle w:val="FootnoteReference"/>
          <w:rFonts w:ascii="Simplified Arabic" w:hAnsi="Simplified Arabic" w:cs="Simplified Arabic"/>
          <w:sz w:val="28"/>
          <w:szCs w:val="32"/>
          <w:rtl/>
          <w:lang w:bidi="ar-DZ"/>
        </w:rPr>
        <w:footnoteReference w:id="11"/>
      </w:r>
    </w:p>
    <w:p w14:paraId="60027D28"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يستخلص من هذا الحديث الشريف أن هناك شروطا إعتبار الفعل احتكارا في الشريعة الاسلامية :</w:t>
      </w:r>
      <w:r>
        <w:rPr>
          <w:rStyle w:val="FootnoteReference"/>
          <w:rFonts w:ascii="Simplified Arabic" w:hAnsi="Simplified Arabic" w:cs="Simplified Arabic"/>
          <w:sz w:val="28"/>
          <w:szCs w:val="32"/>
          <w:rtl/>
          <w:lang w:bidi="ar-DZ"/>
        </w:rPr>
        <w:t xml:space="preserve"> </w:t>
      </w:r>
    </w:p>
    <w:p w14:paraId="5A884F02"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الحد الزمني و هو 40 يوما فاذا لم يبلغ  الحبس 40  يوما لم يعتبر احتكارا. </w:t>
      </w:r>
    </w:p>
    <w:p w14:paraId="3A4BD3A6"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الشراء إذ ذهب الفقهاء إلى أن الشراء شرط لاعتبار الفعل احتكارا فلو ادخر شخص غذاء من غلته لم يكن محتكرا.</w:t>
      </w:r>
    </w:p>
    <w:p w14:paraId="0A034B91"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-حاجة الناس للشيء المحبوس .</w:t>
      </w:r>
    </w:p>
    <w:p w14:paraId="3B76BF5C"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 طلب الزيادة في الثمن أن يسعى المحتكر إلى الحصول على زيادة في الثمن .</w:t>
      </w:r>
    </w:p>
    <w:p w14:paraId="5598036A" w14:textId="77777777" w:rsidR="004144DE" w:rsidRDefault="004144DE" w:rsidP="004144DE">
      <w:pPr>
        <w:bidi/>
        <w:spacing w:after="120"/>
        <w:ind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خلاصة القول أن الشريعة الإسلامية وضعت ميزانا للعلاقات داخل السوق يقوم على دعامتين أساسيتين:</w:t>
      </w:r>
    </w:p>
    <w:p w14:paraId="43C7CEED" w14:textId="77777777" w:rsidR="004144DE" w:rsidRDefault="004144DE" w:rsidP="004144DE">
      <w:pPr>
        <w:pStyle w:val="ListParagraph"/>
        <w:numPr>
          <w:ilvl w:val="0"/>
          <w:numId w:val="3"/>
        </w:numPr>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اعتبار ممارسة التجارة المصدر الأساسي لكسب الرزق وجلب الثروة. فالرزق الذي يأتي من التجارة يمثل 9/10 من الرزق الاجمالي كما قال (</w:t>
      </w:r>
      <w:r>
        <w:rPr>
          <w:rFonts w:ascii="Simplified Arabic" w:hAnsi="Simplified Arabic" w:cs="Simplified Arabic"/>
          <w:b/>
          <w:bCs/>
          <w:sz w:val="28"/>
          <w:rtl/>
          <w:lang w:bidi="ar-DZ"/>
        </w:rPr>
        <w:t>صلّى الله عليه وسلّم</w:t>
      </w:r>
      <w:r>
        <w:rPr>
          <w:rFonts w:ascii="Simplified Arabic" w:hAnsi="Simplified Arabic" w:cs="Simplified Arabic"/>
          <w:sz w:val="28"/>
          <w:szCs w:val="32"/>
          <w:rtl/>
          <w:lang w:bidi="ar-DZ"/>
        </w:rPr>
        <w:t>). وهذا ما أصبحت تجمع عليه التشريعات الوضعية الحالية التي أصبحت تعتمد على اقتصاد السوق.</w:t>
      </w:r>
    </w:p>
    <w:p w14:paraId="635A36A2" w14:textId="77777777" w:rsidR="004144DE" w:rsidRDefault="004144DE" w:rsidP="004144DE">
      <w:pPr>
        <w:pStyle w:val="ListParagraph"/>
        <w:numPr>
          <w:ilvl w:val="0"/>
          <w:numId w:val="3"/>
        </w:numPr>
        <w:tabs>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فقد حاربت الشريعة الإسلامية الاحتكار باعتباره يضر بالمنافسة الحرة داخل السوق.</w:t>
      </w:r>
    </w:p>
    <w:p w14:paraId="16EECB35"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وهذا ما أصبحت تجمع عليه التشريعات الوضعية بعد إقرار الشريعة الإسلامية له منذ عقود.</w:t>
      </w:r>
    </w:p>
    <w:p w14:paraId="5E53F03C" w14:textId="77777777" w:rsidR="004144DE" w:rsidRDefault="004144DE" w:rsidP="004144DE">
      <w:pPr>
        <w:pStyle w:val="ListParagraph"/>
        <w:tabs>
          <w:tab w:val="right" w:pos="849"/>
        </w:tabs>
        <w:bidi/>
        <w:spacing w:after="120"/>
        <w:ind w:left="-2"/>
        <w:jc w:val="center"/>
        <w:rPr>
          <w:rFonts w:ascii="Simplified Arabic" w:hAnsi="Simplified Arabic" w:cs="Simplified Arabic"/>
          <w:b/>
          <w:bCs/>
          <w:sz w:val="28"/>
          <w:szCs w:val="32"/>
          <w:rtl/>
          <w:lang w:bidi="ar-DZ"/>
        </w:rPr>
      </w:pPr>
    </w:p>
    <w:p w14:paraId="486C0602" w14:textId="77777777" w:rsidR="004144DE" w:rsidRDefault="004144DE" w:rsidP="004144DE">
      <w:pPr>
        <w:pStyle w:val="ListParagraph"/>
        <w:tabs>
          <w:tab w:val="right" w:pos="849"/>
        </w:tabs>
        <w:bidi/>
        <w:spacing w:after="120"/>
        <w:ind w:left="-2"/>
        <w:jc w:val="center"/>
        <w:rPr>
          <w:rFonts w:ascii="Simplified Arabic" w:hAnsi="Simplified Arabic" w:cs="Simplified Arabic"/>
          <w:b/>
          <w:bCs/>
          <w:sz w:val="28"/>
          <w:szCs w:val="32"/>
          <w:rtl/>
          <w:lang w:bidi="ar-DZ"/>
        </w:rPr>
      </w:pPr>
    </w:p>
    <w:p w14:paraId="61F66860" w14:textId="553409E2" w:rsidR="004144DE" w:rsidRDefault="004144DE" w:rsidP="004144DE">
      <w:pPr>
        <w:pStyle w:val="ListParagraph"/>
        <w:tabs>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lastRenderedPageBreak/>
        <w:t>ج- تطور قانون المنافسة في التشريع الجزائري</w:t>
      </w:r>
    </w:p>
    <w:p w14:paraId="450F0696"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يرتبط ظهور قانون المنافسة بانتهاج الدولة الجزائرية سياسة الاقتصاد الحر و تعتبر المنافسة أحد أهم مقوماته. لهذا لم يظهر قانون المنافسة في الجزائر خلال مرحلة ما قبل تسعينات القرن الماضي نظرا لانتهاجها المذهب الاشتراكي. فأول قانون منافسة في الجزائر كان سنة 1995 من خلال القانون 95-06 المؤرخ في 25 جانفي 1995 المتعلق بالمنافسة  و الذي صدر لإرساء قواعد و أسس المنافسة الحرة داخل السوق . و لقد اعترف هذا القانون بحرية المنافسة و تحديد الاسعار حسب قواعد السوق باستثناء بعض السلع الواسعة الاستهلاك كما كرس حرية المبادرة الاقتصادية . إلا أنه لم يحقق النتائج التي كانت متوقعة عند إصداره لهذا تم إلغائه بالقانون رقم 03-03 المؤرخ في 19 يوليو 2003 المعدل و المتمم و يعود إلغاء هذا القانون للأسباب التالية:</w:t>
      </w:r>
    </w:p>
    <w:p w14:paraId="6C7C8EEB"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 الرغبة في الفصل بين القواعد المطبقة على الاعمال المقيدة للمنافسة عن تلك المطبقة على الممارسات التجارية غير المشروعة و غير النزيهة . والتي صدر لتنظيمها قانون في سنة 2004 و القانون رقم 04-02 الصادر في 23  جوان 2004 المتعلق بالقواعد المطبقة على الممارسات التجارية المعدل و المتمم .</w:t>
      </w:r>
    </w:p>
    <w:p w14:paraId="0183B2D4"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إعادة تنظيم نشاط مجلس المنافسة الذي أصبح الهيئة المكلفة بضبط السوق. </w:t>
      </w:r>
    </w:p>
    <w:p w14:paraId="34702065"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الغاء العقوبات السالبة للحرية ، إذ أصبحت العقوبات قد تصدر عن مجلس المنافسة تتمثل في الغرامات دون عقوبة الحبس التي كان يختص بها مجلس المنافسة في ظل قانون 1995.</w:t>
      </w:r>
    </w:p>
    <w:p w14:paraId="4C979111"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-تأكيد التوجه نحو الانفتاح الاقتصادي و تحقيق الانسجام مع النصوص القانونية الاقتصادية الكثيرة الصادرة منذ بداية الالفية الحالية .</w:t>
      </w:r>
    </w:p>
    <w:p w14:paraId="6DA51E5D"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عدل الامر رقم 03-03 في سنة 2008 بالقانون رقم 08-12 و الذي ورد فيه : </w:t>
      </w:r>
    </w:p>
    <w:p w14:paraId="728ACE91"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تعريف مصطلح الضبط.</w:t>
      </w:r>
    </w:p>
    <w:p w14:paraId="52238962"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تدعيم تشكيلة مجلس المنافسة لجعله يضطلع بدوره  في ضبط السوق .</w:t>
      </w:r>
    </w:p>
    <w:p w14:paraId="385A666B"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-تعزيز استقلالية مجلس المنافسة في المادة 23 بعد التعديل. كما أنه رفع عدد أعضاء مجلس المنافسة من 9 إلى 12.</w:t>
      </w:r>
    </w:p>
    <w:p w14:paraId="7F17ED56"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-منح مجلس المنافسة صلاحية اتخاذ أي قرار يراه ضروريا يخص ضبط السوق في شكل تعليمة أو منشور.</w:t>
      </w:r>
    </w:p>
    <w:p w14:paraId="53F8ED9C"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رغم أن مجلس المنافسة وضع لدى وزارة التجارة بعدما كان تابعا لرئاسة الحكومة في قانون 1995 إلا أن القانون أكد على استقلاليته عنها لضمان مصداقيته و سيادته في اتخاذ القرار.</w:t>
      </w:r>
    </w:p>
    <w:p w14:paraId="0FC04CC5"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وفي هذا الاطار  نتمنى لو منح له مقر منفصل  و ميزانية منفصلة عن ميزانية وزارة التجارة لكي يتمتع فعلا بالاستقلالية القانونية و المادية  و جعله مستقلا عن كل مكونات السلطة التنفيذية .</w:t>
      </w:r>
    </w:p>
    <w:p w14:paraId="5F4DE5E6"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تأكيد الدور المحوري لمجلس المنافسة في ضبط السوق.</w:t>
      </w:r>
    </w:p>
    <w:p w14:paraId="4A799B92"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توسيع مجال اختصاص مجلس المنافسة ليشمل الصفقات العمومية.</w:t>
      </w:r>
    </w:p>
    <w:p w14:paraId="365202E9"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تعديل تعريف المؤسسة ليشمل مؤسسات الاستيراد.</w:t>
      </w:r>
    </w:p>
    <w:p w14:paraId="03467A71"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إمكانية الترخيص للمتعاملين الاقتصاديين الذين يقومون بتحقيق تجمعات تتجاوز نسبتها 40 بالمائة إذا كانت تحقق تطور تقني أو اقتصادي أو اجتماعي يخدم الاقتصاد الوطني . </w:t>
      </w:r>
    </w:p>
    <w:p w14:paraId="41D3F3B4"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عدل الامر رقم 03-03 في سنة 2010 بالقانون رقم 10-08 الصادر في 15 أوت 2010 و الذي تضمن تعديلات تتعلق بما يلي : </w:t>
      </w:r>
    </w:p>
    <w:p w14:paraId="7B391223"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توسيع نطاق تطبيق قانون المنافسة إلى أنشطة الفلاحة و الصيد البحري و نشاط استيراد السلع لإعادة بيعها على حالها و الوكلاء و الوسطاء بيع المواشي و بائعو اللحوم بالجملة و نشاطات الخدمات و الصناعة التقليدية و الصيد البحري.</w:t>
      </w:r>
    </w:p>
    <w:p w14:paraId="5779C013" w14:textId="739A5CFD"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تكريس مهام الدولة – وزارة التجارة - و صلاحياتها الضبطية في السوق لتشمل تحديد هوامش الربح للسلع و الخدمات على أساس مبدأي الانصاف و الشفافية المتعارف عليهما عالميا و التأكيد على أن تدخل الدولة في مجال الاسعار يهدف إلى مواجهة الارتفاع غير المبرر و الاضطراب الحاد في السوق</w:t>
      </w:r>
      <w:r>
        <w:rPr>
          <w:rFonts w:ascii="Simplified Arabic" w:hAnsi="Simplified Arabic" w:cs="Simplified Arabic" w:hint="cs"/>
          <w:sz w:val="28"/>
          <w:szCs w:val="32"/>
          <w:rtl/>
          <w:lang w:bidi="ar-DZ"/>
        </w:rPr>
        <w:t>.</w:t>
      </w:r>
    </w:p>
    <w:p w14:paraId="489CDD32" w14:textId="0CF80CF0" w:rsidR="004144DE" w:rsidRDefault="004144DE" w:rsidP="004144DE">
      <w:pPr>
        <w:pStyle w:val="ListParagraph"/>
        <w:tabs>
          <w:tab w:val="right" w:pos="707"/>
          <w:tab w:val="right" w:pos="849"/>
        </w:tabs>
        <w:bidi/>
        <w:spacing w:after="120"/>
        <w:ind w:left="0"/>
        <w:jc w:val="center"/>
        <w:rPr>
          <w:rFonts w:ascii="Simplified Arabic" w:hAnsi="Simplified Arabic" w:cs="Simplified Arabic"/>
          <w:b/>
          <w:bCs/>
          <w:sz w:val="28"/>
          <w:szCs w:val="32"/>
          <w:lang w:bidi="ar-DZ"/>
        </w:rPr>
      </w:pPr>
      <w:r>
        <w:rPr>
          <w:rFonts w:ascii="Simplified Arabic" w:hAnsi="Simplified Arabic" w:cs="Simplified Arabic" w:hint="cs"/>
          <w:b/>
          <w:bCs/>
          <w:sz w:val="28"/>
          <w:szCs w:val="32"/>
          <w:rtl/>
          <w:lang w:bidi="ar-DZ"/>
        </w:rPr>
        <w:t xml:space="preserve">ثانيا: </w:t>
      </w:r>
      <w:r>
        <w:rPr>
          <w:rFonts w:ascii="Simplified Arabic" w:hAnsi="Simplified Arabic" w:cs="Simplified Arabic"/>
          <w:b/>
          <w:bCs/>
          <w:sz w:val="28"/>
          <w:szCs w:val="32"/>
          <w:rtl/>
          <w:lang w:bidi="ar-DZ"/>
        </w:rPr>
        <w:t>أهداف قانون المنافسة</w:t>
      </w:r>
    </w:p>
    <w:p w14:paraId="44DE9012" w14:textId="77777777" w:rsidR="004144DE" w:rsidRDefault="004144DE" w:rsidP="004144DE">
      <w:pPr>
        <w:pStyle w:val="ListParagraph"/>
        <w:tabs>
          <w:tab w:val="right" w:pos="707"/>
          <w:tab w:val="right" w:pos="849"/>
        </w:tabs>
        <w:bidi/>
        <w:spacing w:after="120"/>
        <w:ind w:left="0"/>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حسب المادة الاولى من قانون المنافسة يهدف قانون  المنافسة إلى ضمان ممارسة منافسة جرة في السوق المعني عن طريق تحديد شروط ممارسة المنافسة في السوق و تفادي كل ممارسة مقيدة للمنافسة و مراقبة التجميعات الاقتصادية و تحسين ظروف معيشة المستهلكين.</w:t>
      </w:r>
    </w:p>
    <w:p w14:paraId="2949D244" w14:textId="77777777" w:rsidR="004144DE" w:rsidRDefault="004144DE" w:rsidP="004144DE">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و عليه يهدف قانون المنافسة إلى تحقيق هدف أساسي وهو حماية المنافسة داخل السوق. </w:t>
      </w:r>
    </w:p>
    <w:p w14:paraId="1014385F" w14:textId="77777777" w:rsidR="004144DE" w:rsidRDefault="004144DE" w:rsidP="004144DE">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ويستتبع ذلك حماية الكيانات الاقتصادية الناشطة فيه وحماية المستهلك. فقانون المنافسة يسعى إلى الموازنة بين المصالح المختلفة الممثلة في السوق بغرض حماية النظام العام الاقتصادي. </w:t>
      </w:r>
    </w:p>
    <w:p w14:paraId="72C35ACB" w14:textId="77777777" w:rsidR="004144DE" w:rsidRDefault="004144DE" w:rsidP="004144DE">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بما أن كل واحد من المتنافسين يسعى إلى تحقيق مصلحته الاقتصادية الخاصة هذا ما يؤدي إلى حدوث صراع داخل السوق وسيؤثر على التوازنات داخله و في الاقتصاد ككل لكون هذه المنافسة قد يترتب عليها زوال بعض المؤسسات التي لم تستطع أن تصمد أمام المنافسة من ما قد ينتج عنه بعض الاضطرابات الاجتماعية.ونؤكد أن قانون المنافسة لا يحمي المؤسسات الضعيفة و التي لا تملك عوامل انتاج و تسويق ناجعة داخل السوق. لكنه يحمي المنافسة الشريفة و الحرة وذلك لضمان البقاء داخل السوق لمن يقدم أحسن خدمة بأفضل الاسعار للمستهلك.</w:t>
      </w:r>
    </w:p>
    <w:p w14:paraId="4B7F061F" w14:textId="77777777" w:rsidR="004144DE" w:rsidRDefault="004144DE" w:rsidP="004144DE">
      <w:pPr>
        <w:pStyle w:val="ListParagraph"/>
        <w:numPr>
          <w:ilvl w:val="0"/>
          <w:numId w:val="4"/>
        </w:numPr>
        <w:tabs>
          <w:tab w:val="right" w:pos="140"/>
          <w:tab w:val="right" w:pos="282"/>
          <w:tab w:val="right" w:pos="707"/>
          <w:tab w:val="right" w:pos="849"/>
        </w:tabs>
        <w:bidi/>
        <w:spacing w:after="120"/>
        <w:ind w:left="0" w:firstLine="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ضمان ممارسة المنافسة الحرة والملائمة داخل السوق:</w:t>
      </w:r>
    </w:p>
    <w:p w14:paraId="631AAE26" w14:textId="77777777" w:rsidR="004144DE" w:rsidRDefault="004144DE" w:rsidP="004144DE">
      <w:pPr>
        <w:pStyle w:val="ListParagraph"/>
        <w:tabs>
          <w:tab w:val="right" w:pos="140"/>
          <w:tab w:val="right" w:pos="282"/>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تظهر أهمية قانون المنافسة في حماية مبدأ المنافسة الحرة في ذاته .وذلك عن طريق ضمان السير العادي للسوق و عدم وجود ممارسات تقييدية تضر بالقوانين الطبيعية التي يقوم عليها سير السوق في ظل الاقتصاد الليبرالي. </w:t>
      </w:r>
    </w:p>
    <w:p w14:paraId="1197CE4F" w14:textId="77777777" w:rsidR="004144DE" w:rsidRDefault="004144DE" w:rsidP="004144DE">
      <w:pPr>
        <w:pStyle w:val="ListParagraph"/>
        <w:tabs>
          <w:tab w:val="right" w:pos="707"/>
          <w:tab w:val="right" w:pos="849"/>
        </w:tabs>
        <w:bidi/>
        <w:spacing w:after="120"/>
        <w:ind w:left="0"/>
        <w:jc w:val="both"/>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 xml:space="preserve"> تحسين ظروف معيشة المستهلكين.</w:t>
      </w:r>
    </w:p>
    <w:p w14:paraId="07D272C3" w14:textId="77777777" w:rsidR="004144DE" w:rsidRDefault="004144DE" w:rsidP="004144DE">
      <w:pPr>
        <w:pStyle w:val="ListParagraph"/>
        <w:tabs>
          <w:tab w:val="right" w:pos="140"/>
          <w:tab w:val="right" w:pos="282"/>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إن حماية المنافسة داخل السوق ينتج عنه بالضرورة حماية المستهلك. إذ يترتب على عملية منع الاحتكار والممارسات المقيدة للمنافسة عرض السلع والخدمات بأكثر أسعار ملائمة وبأفضل الشروط للمستهلك لكون السوق يسير بطريقة سليمة.</w:t>
      </w:r>
    </w:p>
    <w:p w14:paraId="2F894FF3" w14:textId="77777777" w:rsidR="004144DE" w:rsidRDefault="004144DE" w:rsidP="004144DE">
      <w:pPr>
        <w:pStyle w:val="ListParagraph"/>
        <w:tabs>
          <w:tab w:val="right" w:pos="140"/>
          <w:tab w:val="right" w:pos="282"/>
          <w:tab w:val="right" w:pos="707"/>
          <w:tab w:val="right" w:pos="849"/>
        </w:tabs>
        <w:bidi/>
        <w:spacing w:after="120"/>
        <w:ind w:left="2977"/>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-حماية المتدخلين في السوق:</w:t>
      </w:r>
    </w:p>
    <w:p w14:paraId="41CCDE17" w14:textId="77777777" w:rsidR="004144DE" w:rsidRDefault="004144DE" w:rsidP="004144DE">
      <w:pPr>
        <w:pStyle w:val="ListParagraph"/>
        <w:tabs>
          <w:tab w:val="right" w:pos="140"/>
          <w:tab w:val="right" w:pos="282"/>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يمنح قانون المنافسة للمتعاملين الاقتصاديين حماية من التصرفات التقييدية التي حظرها المشرع في قانون المنافسة والتي قد يقوم بها بعض المتدخلين مثل : التواطؤات أو التعسف في وضعية الهيمنة أو التبعية الاقتصادية. فوفر لهم آليات قانونية فعالة يمكن أن يتدخلوا بها لمنع وقوع هذه الأعمال أو الحد من آثارها.</w:t>
      </w:r>
    </w:p>
    <w:p w14:paraId="6B70F6C3" w14:textId="10379B73" w:rsidR="004144DE" w:rsidRDefault="004144DE" w:rsidP="004144DE">
      <w:pPr>
        <w:tabs>
          <w:tab w:val="right" w:pos="707"/>
          <w:tab w:val="right" w:pos="849"/>
        </w:tabs>
        <w:bidi/>
        <w:spacing w:after="120"/>
        <w:ind w:left="360"/>
        <w:jc w:val="center"/>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ثالثا</w:t>
      </w:r>
      <w:r>
        <w:rPr>
          <w:rFonts w:ascii="Simplified Arabic" w:hAnsi="Simplified Arabic" w:cs="Simplified Arabic"/>
          <w:b/>
          <w:bCs/>
          <w:sz w:val="28"/>
          <w:szCs w:val="32"/>
          <w:rtl/>
          <w:lang w:bidi="ar-DZ"/>
        </w:rPr>
        <w:t xml:space="preserve"> :مصادر قانون المنافسة </w:t>
      </w:r>
    </w:p>
    <w:p w14:paraId="67B791F2" w14:textId="77777777" w:rsidR="004144DE" w:rsidRDefault="004144DE" w:rsidP="004144DE">
      <w:pPr>
        <w:pStyle w:val="ListParagraph"/>
        <w:tabs>
          <w:tab w:val="right" w:pos="0"/>
        </w:tabs>
        <w:bidi/>
        <w:spacing w:after="120"/>
        <w:ind w:left="0" w:firstLine="708"/>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لا تختلف مصادر قانون المنافسة على مصادر القانون عامة بمختلف درجاتها وفي هذا المقام سنذكر فقط القانون الأساسي المنظم للمنافسة و هو القانون رقم 03-03 المعدل والمتمم. إلا أن تشعب العلاقات داخل السوق وتنوع العقود والعلاقات في بعض الأحيان يحتم الرجوع إلى القانون التجاري أو القانون المدني لإيجاد القاعدة القانونية المطبقة على النزاع في حالة عدم ورودها في قانون المنافسة.</w:t>
      </w:r>
    </w:p>
    <w:p w14:paraId="0866DB8A" w14:textId="77777777" w:rsidR="004144DE" w:rsidRDefault="004144DE" w:rsidP="004144DE">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كما أن قانون رقم 04-02 المتعلق بالقواعد المطبقة على الممارسات التجارية له أهمية كبرى في هذا المجال خاصة الأحكام الواردة فيه المتعلقة بنزاهة الممارسات التجارية وتنظيمه للأسعار وكذلك الأمر رقم 03-04 المتعلق بالقواعد العامة المطبقة على استيراد البضائع وتصديرها. </w:t>
      </w:r>
    </w:p>
    <w:p w14:paraId="6D0102D0" w14:textId="77777777" w:rsidR="004144DE" w:rsidRDefault="004144DE" w:rsidP="004144DE">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هذه القوانين صدرت بعد قانون المنافسة رقم 03-03 و ذلك لكون المشرع نزع اختصاص اصدار عقوبات جزائية سالبة للحرية من مجلس المنافسة و أوردها في القانون رقم 04-02.</w:t>
      </w:r>
    </w:p>
    <w:p w14:paraId="4F88A7DE" w14:textId="77777777" w:rsidR="004144DE" w:rsidRDefault="004144DE" w:rsidP="004144DE">
      <w:pPr>
        <w:pStyle w:val="ListParagraph"/>
        <w:tabs>
          <w:tab w:val="right" w:pos="849"/>
        </w:tabs>
        <w:bidi/>
        <w:spacing w:after="120"/>
        <w:ind w:left="-2" w:firstLine="567"/>
        <w:jc w:val="both"/>
        <w:rPr>
          <w:rFonts w:ascii="Simplified Arabic" w:hAnsi="Simplified Arabic" w:cs="Simplified Arabic"/>
          <w:sz w:val="28"/>
          <w:szCs w:val="32"/>
          <w:rtl/>
          <w:lang w:bidi="ar-DZ"/>
        </w:rPr>
      </w:pPr>
    </w:p>
    <w:p w14:paraId="72CBD50C" w14:textId="77777777" w:rsidR="00A27643" w:rsidRDefault="00A27643">
      <w:pPr>
        <w:rPr>
          <w:lang w:bidi="ar-DZ"/>
        </w:rPr>
      </w:pPr>
    </w:p>
    <w:sectPr w:rsidR="00A27643" w:rsidSect="004144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FB21" w14:textId="77777777" w:rsidR="00EC11F0" w:rsidRDefault="00EC11F0" w:rsidP="004144DE">
      <w:pPr>
        <w:spacing w:after="0" w:line="240" w:lineRule="auto"/>
      </w:pPr>
      <w:r>
        <w:separator/>
      </w:r>
    </w:p>
  </w:endnote>
  <w:endnote w:type="continuationSeparator" w:id="0">
    <w:p w14:paraId="74D75507" w14:textId="77777777" w:rsidR="00EC11F0" w:rsidRDefault="00EC11F0" w:rsidP="0041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7DFE" w14:textId="77777777" w:rsidR="00EC11F0" w:rsidRDefault="00EC11F0" w:rsidP="004144DE">
      <w:pPr>
        <w:spacing w:after="0" w:line="240" w:lineRule="auto"/>
      </w:pPr>
      <w:r>
        <w:separator/>
      </w:r>
    </w:p>
  </w:footnote>
  <w:footnote w:type="continuationSeparator" w:id="0">
    <w:p w14:paraId="3399AD84" w14:textId="77777777" w:rsidR="00EC11F0" w:rsidRDefault="00EC11F0" w:rsidP="004144DE">
      <w:pPr>
        <w:spacing w:after="0" w:line="240" w:lineRule="auto"/>
      </w:pPr>
      <w:r>
        <w:continuationSeparator/>
      </w:r>
    </w:p>
  </w:footnote>
  <w:footnote w:id="1">
    <w:p w14:paraId="74CA8060" w14:textId="77777777" w:rsidR="004144DE" w:rsidRDefault="004144DE" w:rsidP="004144DE">
      <w:pPr>
        <w:pStyle w:val="FootnoteText"/>
        <w:bidi/>
        <w:rPr>
          <w:rtl/>
          <w:lang w:bidi="ar-DZ"/>
        </w:rPr>
      </w:pPr>
      <w:r>
        <w:rPr>
          <w:rStyle w:val="FootnoteReference"/>
        </w:rPr>
        <w:footnoteRef/>
      </w:r>
      <w:r>
        <w:t xml:space="preserve"> </w:t>
      </w:r>
      <w:r>
        <w:rPr>
          <w:rtl/>
        </w:rPr>
        <w:t>- عبد الناصر فتحي جلوي محمد ، المرجع السابق ، ص20.</w:t>
      </w:r>
    </w:p>
  </w:footnote>
  <w:footnote w:id="2">
    <w:p w14:paraId="17ABDD29" w14:textId="77777777" w:rsidR="004144DE" w:rsidRDefault="004144DE" w:rsidP="004144DE">
      <w:pPr>
        <w:pStyle w:val="FootnoteText"/>
        <w:bidi/>
        <w:rPr>
          <w:rtl/>
          <w:lang w:bidi="ar-DZ"/>
        </w:rPr>
      </w:pPr>
      <w:r>
        <w:rPr>
          <w:rStyle w:val="FootnoteReference"/>
        </w:rPr>
        <w:footnoteRef/>
      </w:r>
      <w:r>
        <w:rPr>
          <w:rtl/>
        </w:rPr>
        <w:t>-د-</w:t>
      </w:r>
      <w:r>
        <w:rPr>
          <w:rFonts w:hint="cs"/>
        </w:rPr>
        <w:t xml:space="preserve"> </w:t>
      </w:r>
      <w:r>
        <w:rPr>
          <w:rtl/>
          <w:lang w:bidi="ar-DZ"/>
        </w:rPr>
        <w:t>لينا حسن ذكي ، المرجع السابق ، ص 20.</w:t>
      </w:r>
    </w:p>
  </w:footnote>
  <w:footnote w:id="3">
    <w:p w14:paraId="37503228" w14:textId="77777777" w:rsidR="004144DE" w:rsidRDefault="004144DE" w:rsidP="004144DE">
      <w:pPr>
        <w:pStyle w:val="FootnoteText"/>
        <w:bidi/>
        <w:rPr>
          <w:rtl/>
          <w:lang w:bidi="ar-DZ"/>
        </w:rPr>
      </w:pPr>
      <w:r>
        <w:rPr>
          <w:rStyle w:val="FootnoteReference"/>
        </w:rPr>
        <w:footnoteRef/>
      </w:r>
      <w:r>
        <w:t xml:space="preserve"> </w:t>
      </w:r>
      <w:r>
        <w:rPr>
          <w:rtl/>
        </w:rPr>
        <w:t>-د-حسين محمد فتحي ، المرجع السابق ، ص7.</w:t>
      </w:r>
    </w:p>
  </w:footnote>
  <w:footnote w:id="4">
    <w:p w14:paraId="1AA0EE38" w14:textId="77777777" w:rsidR="004144DE" w:rsidRDefault="004144DE" w:rsidP="004144DE">
      <w:pPr>
        <w:pStyle w:val="FootnoteText"/>
        <w:rPr>
          <w:rtl/>
          <w:lang w:bidi="ar-DZ"/>
        </w:rPr>
      </w:pPr>
      <w:r>
        <w:rPr>
          <w:rStyle w:val="FootnoteReference"/>
        </w:rPr>
        <w:footnoteRef/>
      </w:r>
      <w:r>
        <w:t xml:space="preserve"> </w:t>
      </w:r>
      <w:r>
        <w:rPr>
          <w:rtl/>
        </w:rPr>
        <w:t>-</w:t>
      </w:r>
      <w:r>
        <w:rPr>
          <w:rFonts w:hint="cs"/>
          <w:rtl/>
        </w:rPr>
        <w:t xml:space="preserve"> </w:t>
      </w:r>
      <w:r>
        <w:t>François brunet , jury</w:t>
      </w:r>
      <w:r>
        <w:rPr>
          <w:rtl/>
        </w:rPr>
        <w:t xml:space="preserve"> </w:t>
      </w:r>
      <w:r>
        <w:t xml:space="preserve"> Canivet , le nouveau droit  communautaire de la concurrence , paris ,L.G.D.J..2009, p20.</w:t>
      </w:r>
    </w:p>
  </w:footnote>
  <w:footnote w:id="5">
    <w:p w14:paraId="2ADF8AF9" w14:textId="77777777" w:rsidR="004144DE" w:rsidRDefault="004144DE" w:rsidP="004144DE">
      <w:pPr>
        <w:pStyle w:val="FootnoteText"/>
        <w:rPr>
          <w:rtl/>
        </w:rPr>
      </w:pPr>
      <w:r>
        <w:rPr>
          <w:rStyle w:val="FootnoteReference"/>
        </w:rPr>
        <w:footnoteRef/>
      </w:r>
      <w:r>
        <w:t xml:space="preserve"> - louis voget,op.cit.p95.</w:t>
      </w:r>
    </w:p>
  </w:footnote>
  <w:footnote w:id="6">
    <w:p w14:paraId="5CE347E0" w14:textId="77777777" w:rsidR="004144DE" w:rsidRDefault="004144DE" w:rsidP="004144DE">
      <w:pPr>
        <w:pStyle w:val="FootnoteText"/>
        <w:jc w:val="right"/>
        <w:rPr>
          <w:lang w:bidi="ar-DZ"/>
        </w:rPr>
      </w:pPr>
      <w:r>
        <w:rPr>
          <w:rtl/>
        </w:rPr>
        <w:t>- د-مغاوري شلبي علي ، المرجع السابق ، ص 59  .</w:t>
      </w:r>
      <w:r>
        <w:rPr>
          <w:rStyle w:val="FootnoteReference"/>
        </w:rPr>
        <w:footnoteRef/>
      </w:r>
      <w:r>
        <w:t xml:space="preserve"> </w:t>
      </w:r>
      <w:r>
        <w:rPr>
          <w:rtl/>
        </w:rPr>
        <w:t xml:space="preserve">- </w:t>
      </w:r>
    </w:p>
  </w:footnote>
  <w:footnote w:id="7">
    <w:p w14:paraId="164938EA" w14:textId="77777777" w:rsidR="004144DE" w:rsidRDefault="004144DE" w:rsidP="004144DE">
      <w:pPr>
        <w:pStyle w:val="FootnoteText"/>
        <w:rPr>
          <w:rtl/>
          <w:lang w:bidi="ar-DZ"/>
        </w:rPr>
      </w:pPr>
      <w:r>
        <w:rPr>
          <w:rStyle w:val="FootnoteReference"/>
        </w:rPr>
        <w:footnoteRef/>
      </w:r>
      <w:r>
        <w:t xml:space="preserve"> </w:t>
      </w:r>
      <w:r>
        <w:rPr>
          <w:rtl/>
        </w:rPr>
        <w:t>-</w:t>
      </w:r>
      <w:r>
        <w:t>louis Vogel,ibid.p95.</w:t>
      </w:r>
    </w:p>
  </w:footnote>
  <w:footnote w:id="8">
    <w:p w14:paraId="12192900" w14:textId="77777777" w:rsidR="004144DE" w:rsidRDefault="004144DE" w:rsidP="004144DE">
      <w:pPr>
        <w:pStyle w:val="FootnoteText"/>
        <w:rPr>
          <w:lang w:bidi="ar-DZ"/>
        </w:rPr>
      </w:pPr>
      <w:r>
        <w:rPr>
          <w:rStyle w:val="FootnoteReference"/>
        </w:rPr>
        <w:footnoteRef/>
      </w:r>
      <w:r>
        <w:t xml:space="preserve"> -marie- Anne  frison roche, op.cit.p23.</w:t>
      </w:r>
    </w:p>
  </w:footnote>
  <w:footnote w:id="9">
    <w:p w14:paraId="6A469D1E" w14:textId="77777777" w:rsidR="004144DE" w:rsidRDefault="004144DE" w:rsidP="004144DE">
      <w:pPr>
        <w:pStyle w:val="FootnoteText"/>
        <w:bidi/>
        <w:rPr>
          <w:rtl/>
          <w:lang w:bidi="ar-DZ"/>
        </w:rPr>
      </w:pPr>
      <w:r>
        <w:rPr>
          <w:rStyle w:val="FootnoteReference"/>
        </w:rPr>
        <w:footnoteRef/>
      </w:r>
      <w:r>
        <w:t xml:space="preserve"> </w:t>
      </w:r>
      <w:r>
        <w:rPr>
          <w:rtl/>
        </w:rPr>
        <w:t>- د-لينا حسن ذكي ، المرجع السابق ، ص20.</w:t>
      </w:r>
    </w:p>
  </w:footnote>
  <w:footnote w:id="10">
    <w:p w14:paraId="320689FA" w14:textId="77777777" w:rsidR="004144DE" w:rsidRDefault="004144DE" w:rsidP="004144DE">
      <w:pPr>
        <w:pStyle w:val="FootnoteText"/>
        <w:rPr>
          <w:rtl/>
          <w:lang w:bidi="ar-DZ"/>
        </w:rPr>
      </w:pPr>
      <w:r>
        <w:rPr>
          <w:rStyle w:val="FootnoteReference"/>
        </w:rPr>
        <w:footnoteRef/>
      </w:r>
      <w:r>
        <w:t xml:space="preserve"> - François brunet, jury</w:t>
      </w:r>
      <w:r>
        <w:rPr>
          <w:rtl/>
        </w:rPr>
        <w:t xml:space="preserve"> </w:t>
      </w:r>
      <w:r>
        <w:t xml:space="preserve"> Canivet, op.cit.p16.</w:t>
      </w:r>
    </w:p>
    <w:p w14:paraId="3FE7FBE2" w14:textId="77777777" w:rsidR="004144DE" w:rsidRDefault="004144DE" w:rsidP="004144DE">
      <w:pPr>
        <w:pStyle w:val="FootnoteText"/>
        <w:rPr>
          <w:rtl/>
          <w:lang w:bidi="ar-DZ"/>
        </w:rPr>
      </w:pPr>
    </w:p>
  </w:footnote>
  <w:footnote w:id="11">
    <w:p w14:paraId="41B6F28E" w14:textId="77777777" w:rsidR="004144DE" w:rsidRDefault="004144DE" w:rsidP="004144DE">
      <w:pPr>
        <w:pStyle w:val="FootnoteText"/>
        <w:bidi/>
        <w:rPr>
          <w:rtl/>
          <w:lang w:bidi="ar-DZ"/>
        </w:rPr>
      </w:pPr>
      <w:r>
        <w:rPr>
          <w:rStyle w:val="FootnoteReference"/>
        </w:rPr>
        <w:footnoteRef/>
      </w:r>
      <w:r>
        <w:t xml:space="preserve"> </w:t>
      </w:r>
      <w:r>
        <w:rPr>
          <w:rtl/>
        </w:rPr>
        <w:t>- د-معين فندي الشناق ، المرجع السابق ، ص 29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959"/>
    <w:multiLevelType w:val="hybridMultilevel"/>
    <w:tmpl w:val="EDC8C51E"/>
    <w:lvl w:ilvl="0" w:tplc="4328E3FE">
      <w:start w:val="1"/>
      <w:numFmt w:val="bullet"/>
      <w:lvlText w:val=""/>
      <w:lvlJc w:val="left"/>
      <w:pPr>
        <w:ind w:left="1285"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F511ACD"/>
    <w:multiLevelType w:val="hybridMultilevel"/>
    <w:tmpl w:val="CED41ACC"/>
    <w:lvl w:ilvl="0" w:tplc="4328E3FE">
      <w:start w:val="1"/>
      <w:numFmt w:val="bullet"/>
      <w:lvlText w:val=""/>
      <w:lvlJc w:val="left"/>
      <w:pPr>
        <w:ind w:left="1850" w:hanging="360"/>
      </w:pPr>
      <w:rPr>
        <w:rFonts w:ascii="Symbol" w:hAnsi="Symbol" w:hint="default"/>
      </w:rPr>
    </w:lvl>
    <w:lvl w:ilvl="1" w:tplc="040C0003">
      <w:start w:val="1"/>
      <w:numFmt w:val="bullet"/>
      <w:lvlText w:val="o"/>
      <w:lvlJc w:val="left"/>
      <w:pPr>
        <w:ind w:left="2005" w:hanging="360"/>
      </w:pPr>
      <w:rPr>
        <w:rFonts w:ascii="Courier New" w:hAnsi="Courier New" w:cs="Courier New" w:hint="default"/>
      </w:rPr>
    </w:lvl>
    <w:lvl w:ilvl="2" w:tplc="040C0005">
      <w:start w:val="1"/>
      <w:numFmt w:val="bullet"/>
      <w:lvlText w:val=""/>
      <w:lvlJc w:val="left"/>
      <w:pPr>
        <w:ind w:left="2725" w:hanging="360"/>
      </w:pPr>
      <w:rPr>
        <w:rFonts w:ascii="Wingdings" w:hAnsi="Wingdings" w:hint="default"/>
      </w:rPr>
    </w:lvl>
    <w:lvl w:ilvl="3" w:tplc="040C0001">
      <w:start w:val="1"/>
      <w:numFmt w:val="bullet"/>
      <w:lvlText w:val=""/>
      <w:lvlJc w:val="left"/>
      <w:pPr>
        <w:ind w:left="3445" w:hanging="360"/>
      </w:pPr>
      <w:rPr>
        <w:rFonts w:ascii="Symbol" w:hAnsi="Symbol" w:hint="default"/>
      </w:rPr>
    </w:lvl>
    <w:lvl w:ilvl="4" w:tplc="040C0003">
      <w:start w:val="1"/>
      <w:numFmt w:val="bullet"/>
      <w:lvlText w:val="o"/>
      <w:lvlJc w:val="left"/>
      <w:pPr>
        <w:ind w:left="4165" w:hanging="360"/>
      </w:pPr>
      <w:rPr>
        <w:rFonts w:ascii="Courier New" w:hAnsi="Courier New" w:cs="Courier New" w:hint="default"/>
      </w:rPr>
    </w:lvl>
    <w:lvl w:ilvl="5" w:tplc="040C0005">
      <w:start w:val="1"/>
      <w:numFmt w:val="bullet"/>
      <w:lvlText w:val=""/>
      <w:lvlJc w:val="left"/>
      <w:pPr>
        <w:ind w:left="4885" w:hanging="360"/>
      </w:pPr>
      <w:rPr>
        <w:rFonts w:ascii="Wingdings" w:hAnsi="Wingdings" w:hint="default"/>
      </w:rPr>
    </w:lvl>
    <w:lvl w:ilvl="6" w:tplc="040C0001">
      <w:start w:val="1"/>
      <w:numFmt w:val="bullet"/>
      <w:lvlText w:val=""/>
      <w:lvlJc w:val="left"/>
      <w:pPr>
        <w:ind w:left="5605" w:hanging="360"/>
      </w:pPr>
      <w:rPr>
        <w:rFonts w:ascii="Symbol" w:hAnsi="Symbol" w:hint="default"/>
      </w:rPr>
    </w:lvl>
    <w:lvl w:ilvl="7" w:tplc="040C0003">
      <w:start w:val="1"/>
      <w:numFmt w:val="bullet"/>
      <w:lvlText w:val="o"/>
      <w:lvlJc w:val="left"/>
      <w:pPr>
        <w:ind w:left="6325" w:hanging="360"/>
      </w:pPr>
      <w:rPr>
        <w:rFonts w:ascii="Courier New" w:hAnsi="Courier New" w:cs="Courier New" w:hint="default"/>
      </w:rPr>
    </w:lvl>
    <w:lvl w:ilvl="8" w:tplc="040C0005">
      <w:start w:val="1"/>
      <w:numFmt w:val="bullet"/>
      <w:lvlText w:val=""/>
      <w:lvlJc w:val="left"/>
      <w:pPr>
        <w:ind w:left="7045" w:hanging="360"/>
      </w:pPr>
      <w:rPr>
        <w:rFonts w:ascii="Wingdings" w:hAnsi="Wingdings" w:hint="default"/>
      </w:rPr>
    </w:lvl>
  </w:abstractNum>
  <w:abstractNum w:abstractNumId="2" w15:restartNumberingAfterBreak="0">
    <w:nsid w:val="284646B2"/>
    <w:multiLevelType w:val="hybridMultilevel"/>
    <w:tmpl w:val="D7766F6C"/>
    <w:lvl w:ilvl="0" w:tplc="903E09E4">
      <w:start w:val="1"/>
      <w:numFmt w:val="arabicAlpha"/>
      <w:lvlText w:val="%1-"/>
      <w:lvlJc w:val="left"/>
      <w:pPr>
        <w:ind w:left="1352"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15:restartNumberingAfterBreak="0">
    <w:nsid w:val="3B9455B3"/>
    <w:multiLevelType w:val="hybridMultilevel"/>
    <w:tmpl w:val="C1021730"/>
    <w:lvl w:ilvl="0" w:tplc="F3EC5726">
      <w:numFmt w:val="bullet"/>
      <w:lvlText w:val="-"/>
      <w:lvlJc w:val="left"/>
      <w:pPr>
        <w:ind w:left="1211" w:hanging="360"/>
      </w:pPr>
      <w:rPr>
        <w:rFonts w:ascii="Simplified Arabic" w:eastAsia="Calibri" w:hAnsi="Simplified Arabic" w:cs="Simplified Arabic" w:hint="default"/>
        <w:lang w:bidi="ar-DZ"/>
      </w:rPr>
    </w:lvl>
    <w:lvl w:ilvl="1" w:tplc="040C0003">
      <w:start w:val="1"/>
      <w:numFmt w:val="bullet"/>
      <w:lvlText w:val="o"/>
      <w:lvlJc w:val="left"/>
      <w:pPr>
        <w:ind w:left="1645" w:hanging="360"/>
      </w:pPr>
      <w:rPr>
        <w:rFonts w:ascii="Courier New" w:hAnsi="Courier New" w:cs="Courier New" w:hint="default"/>
      </w:rPr>
    </w:lvl>
    <w:lvl w:ilvl="2" w:tplc="040C0005">
      <w:start w:val="1"/>
      <w:numFmt w:val="bullet"/>
      <w:lvlText w:val=""/>
      <w:lvlJc w:val="left"/>
      <w:pPr>
        <w:ind w:left="2365" w:hanging="360"/>
      </w:pPr>
      <w:rPr>
        <w:rFonts w:ascii="Wingdings" w:hAnsi="Wingdings" w:hint="default"/>
      </w:rPr>
    </w:lvl>
    <w:lvl w:ilvl="3" w:tplc="040C0001">
      <w:start w:val="1"/>
      <w:numFmt w:val="bullet"/>
      <w:lvlText w:val=""/>
      <w:lvlJc w:val="left"/>
      <w:pPr>
        <w:ind w:left="3085" w:hanging="360"/>
      </w:pPr>
      <w:rPr>
        <w:rFonts w:ascii="Symbol" w:hAnsi="Symbol" w:hint="default"/>
      </w:rPr>
    </w:lvl>
    <w:lvl w:ilvl="4" w:tplc="040C0003">
      <w:start w:val="1"/>
      <w:numFmt w:val="bullet"/>
      <w:lvlText w:val="o"/>
      <w:lvlJc w:val="left"/>
      <w:pPr>
        <w:ind w:left="3805" w:hanging="360"/>
      </w:pPr>
      <w:rPr>
        <w:rFonts w:ascii="Courier New" w:hAnsi="Courier New" w:cs="Courier New" w:hint="default"/>
      </w:rPr>
    </w:lvl>
    <w:lvl w:ilvl="5" w:tplc="040C0005">
      <w:start w:val="1"/>
      <w:numFmt w:val="bullet"/>
      <w:lvlText w:val=""/>
      <w:lvlJc w:val="left"/>
      <w:pPr>
        <w:ind w:left="4525" w:hanging="360"/>
      </w:pPr>
      <w:rPr>
        <w:rFonts w:ascii="Wingdings" w:hAnsi="Wingdings" w:hint="default"/>
      </w:rPr>
    </w:lvl>
    <w:lvl w:ilvl="6" w:tplc="040C0001">
      <w:start w:val="1"/>
      <w:numFmt w:val="bullet"/>
      <w:lvlText w:val=""/>
      <w:lvlJc w:val="left"/>
      <w:pPr>
        <w:ind w:left="5245" w:hanging="360"/>
      </w:pPr>
      <w:rPr>
        <w:rFonts w:ascii="Symbol" w:hAnsi="Symbol" w:hint="default"/>
      </w:rPr>
    </w:lvl>
    <w:lvl w:ilvl="7" w:tplc="040C0003">
      <w:start w:val="1"/>
      <w:numFmt w:val="bullet"/>
      <w:lvlText w:val="o"/>
      <w:lvlJc w:val="left"/>
      <w:pPr>
        <w:ind w:left="5965" w:hanging="360"/>
      </w:pPr>
      <w:rPr>
        <w:rFonts w:ascii="Courier New" w:hAnsi="Courier New" w:cs="Courier New" w:hint="default"/>
      </w:rPr>
    </w:lvl>
    <w:lvl w:ilvl="8" w:tplc="040C0005">
      <w:start w:val="1"/>
      <w:numFmt w:val="bullet"/>
      <w:lvlText w:val=""/>
      <w:lvlJc w:val="left"/>
      <w:pPr>
        <w:ind w:left="6685" w:hanging="360"/>
      </w:pPr>
      <w:rPr>
        <w:rFonts w:ascii="Wingdings" w:hAnsi="Wingdings" w:hint="default"/>
      </w:rPr>
    </w:lvl>
  </w:abstractNum>
  <w:num w:numId="1" w16cid:durableId="1358891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323467">
    <w:abstractNumId w:val="0"/>
  </w:num>
  <w:num w:numId="3" w16cid:durableId="1594783581">
    <w:abstractNumId w:val="1"/>
  </w:num>
  <w:num w:numId="4" w16cid:durableId="1867870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A63"/>
    <w:rsid w:val="000E0BFD"/>
    <w:rsid w:val="001718E4"/>
    <w:rsid w:val="002461E0"/>
    <w:rsid w:val="004144DE"/>
    <w:rsid w:val="00471CA8"/>
    <w:rsid w:val="0071044E"/>
    <w:rsid w:val="00745A4E"/>
    <w:rsid w:val="00A27643"/>
    <w:rsid w:val="00AA776D"/>
    <w:rsid w:val="00B92A63"/>
    <w:rsid w:val="00EC11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00EE"/>
  <w15:chartTrackingRefBased/>
  <w15:docId w15:val="{C559633C-F042-432B-9E96-826E3CB8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DE"/>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B92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A63"/>
    <w:rPr>
      <w:rFonts w:eastAsiaTheme="majorEastAsia" w:cstheme="majorBidi"/>
      <w:color w:val="272727" w:themeColor="text1" w:themeTint="D8"/>
    </w:rPr>
  </w:style>
  <w:style w:type="paragraph" w:styleId="Title">
    <w:name w:val="Title"/>
    <w:basedOn w:val="Normal"/>
    <w:next w:val="Normal"/>
    <w:link w:val="TitleChar"/>
    <w:uiPriority w:val="10"/>
    <w:qFormat/>
    <w:rsid w:val="00B9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A63"/>
    <w:pPr>
      <w:spacing w:before="160"/>
      <w:jc w:val="center"/>
    </w:pPr>
    <w:rPr>
      <w:i/>
      <w:iCs/>
      <w:color w:val="404040" w:themeColor="text1" w:themeTint="BF"/>
    </w:rPr>
  </w:style>
  <w:style w:type="character" w:customStyle="1" w:styleId="QuoteChar">
    <w:name w:val="Quote Char"/>
    <w:basedOn w:val="DefaultParagraphFont"/>
    <w:link w:val="Quote"/>
    <w:uiPriority w:val="29"/>
    <w:rsid w:val="00B92A63"/>
    <w:rPr>
      <w:i/>
      <w:iCs/>
      <w:color w:val="404040" w:themeColor="text1" w:themeTint="BF"/>
    </w:rPr>
  </w:style>
  <w:style w:type="paragraph" w:styleId="ListParagraph">
    <w:name w:val="List Paragraph"/>
    <w:basedOn w:val="Normal"/>
    <w:uiPriority w:val="34"/>
    <w:qFormat/>
    <w:rsid w:val="00B92A63"/>
    <w:pPr>
      <w:ind w:left="720"/>
      <w:contextualSpacing/>
    </w:pPr>
  </w:style>
  <w:style w:type="character" w:styleId="IntenseEmphasis">
    <w:name w:val="Intense Emphasis"/>
    <w:basedOn w:val="DefaultParagraphFont"/>
    <w:uiPriority w:val="21"/>
    <w:qFormat/>
    <w:rsid w:val="00B92A63"/>
    <w:rPr>
      <w:i/>
      <w:iCs/>
      <w:color w:val="0F4761" w:themeColor="accent1" w:themeShade="BF"/>
    </w:rPr>
  </w:style>
  <w:style w:type="paragraph" w:styleId="IntenseQuote">
    <w:name w:val="Intense Quote"/>
    <w:basedOn w:val="Normal"/>
    <w:next w:val="Normal"/>
    <w:link w:val="IntenseQuoteChar"/>
    <w:uiPriority w:val="30"/>
    <w:qFormat/>
    <w:rsid w:val="00B92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A63"/>
    <w:rPr>
      <w:i/>
      <w:iCs/>
      <w:color w:val="0F4761" w:themeColor="accent1" w:themeShade="BF"/>
    </w:rPr>
  </w:style>
  <w:style w:type="character" w:styleId="IntenseReference">
    <w:name w:val="Intense Reference"/>
    <w:basedOn w:val="DefaultParagraphFont"/>
    <w:uiPriority w:val="32"/>
    <w:qFormat/>
    <w:rsid w:val="00B92A63"/>
    <w:rPr>
      <w:b/>
      <w:bCs/>
      <w:smallCaps/>
      <w:color w:val="0F4761" w:themeColor="accent1" w:themeShade="BF"/>
      <w:spacing w:val="5"/>
    </w:rPr>
  </w:style>
  <w:style w:type="paragraph" w:styleId="FootnoteText">
    <w:name w:val="footnote text"/>
    <w:basedOn w:val="Normal"/>
    <w:link w:val="FootnoteTextChar"/>
    <w:uiPriority w:val="99"/>
    <w:semiHidden/>
    <w:unhideWhenUsed/>
    <w:rsid w:val="004144DE"/>
    <w:rPr>
      <w:sz w:val="20"/>
      <w:szCs w:val="20"/>
    </w:rPr>
  </w:style>
  <w:style w:type="character" w:customStyle="1" w:styleId="FootnoteTextChar">
    <w:name w:val="Footnote Text Char"/>
    <w:basedOn w:val="DefaultParagraphFont"/>
    <w:link w:val="FootnoteText"/>
    <w:uiPriority w:val="99"/>
    <w:semiHidden/>
    <w:rsid w:val="004144DE"/>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414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744BC-9905-4460-B3B2-11FC9B8A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1772</Words>
  <Characters>9751</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4</cp:revision>
  <dcterms:created xsi:type="dcterms:W3CDTF">2024-10-21T20:36:00Z</dcterms:created>
  <dcterms:modified xsi:type="dcterms:W3CDTF">2025-09-22T22:32:00Z</dcterms:modified>
</cp:coreProperties>
</file>