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61" w:rsidRDefault="00083461" w:rsidP="00083461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</w:p>
    <w:p w:rsidR="00083461" w:rsidRDefault="00083461" w:rsidP="00083461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  <w: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t>Semestre 5</w:t>
      </w:r>
      <w:r>
        <w:rPr>
          <w:rFonts w:asciiTheme="majorHAnsi" w:eastAsia="Calibri" w:hAnsiTheme="majorHAnsi" w:cs="Calibri" w:hint="cs"/>
          <w:b/>
          <w:bCs/>
          <w:color w:val="000000"/>
          <w:u w:val="thick" w:color="F79646" w:themeColor="accent6"/>
          <w:rtl/>
        </w:rPr>
        <w:t xml:space="preserve">   </w:t>
      </w:r>
      <w: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  <w:t xml:space="preserve">                                           3 Licence Génie Civil</w:t>
      </w:r>
    </w:p>
    <w:p w:rsidR="00083461" w:rsidRPr="00C70A86" w:rsidRDefault="00083461" w:rsidP="00083461">
      <w:pPr>
        <w:rPr>
          <w:rFonts w:asciiTheme="majorHAnsi" w:eastAsia="Calibri" w:hAnsiTheme="majorHAnsi" w:cs="Arial"/>
          <w:b/>
          <w:bCs/>
          <w:color w:val="000000"/>
          <w:u w:val="thick" w:color="F79646" w:themeColor="accent6"/>
        </w:rPr>
      </w:pPr>
    </w:p>
    <w:tbl>
      <w:tblPr>
        <w:tblStyle w:val="Tramemoyenne2-Accent6"/>
        <w:tblW w:w="524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323"/>
        <w:gridCol w:w="829"/>
        <w:gridCol w:w="492"/>
        <w:gridCol w:w="810"/>
        <w:gridCol w:w="691"/>
        <w:gridCol w:w="691"/>
        <w:gridCol w:w="1121"/>
        <w:gridCol w:w="1641"/>
        <w:gridCol w:w="1013"/>
        <w:gridCol w:w="977"/>
      </w:tblGrid>
      <w:tr w:rsidR="00083461" w:rsidRPr="00083461" w:rsidTr="00083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7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Unité d'enseignement</w:t>
            </w:r>
          </w:p>
        </w:tc>
        <w:tc>
          <w:tcPr>
            <w:tcW w:w="581" w:type="pct"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Matières</w:t>
            </w:r>
          </w:p>
        </w:tc>
        <w:tc>
          <w:tcPr>
            <w:tcW w:w="365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Crédits</w:t>
            </w:r>
          </w:p>
        </w:tc>
        <w:tc>
          <w:tcPr>
            <w:tcW w:w="22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964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Volume horaire hebdomadaire</w:t>
            </w:r>
          </w:p>
        </w:tc>
        <w:tc>
          <w:tcPr>
            <w:tcW w:w="49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Volume Horaire Semestriel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(15 semaines)</w:t>
            </w:r>
          </w:p>
        </w:tc>
        <w:tc>
          <w:tcPr>
            <w:tcW w:w="72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Travail Complémentaire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en Consultation            (15 semaines)</w:t>
            </w:r>
          </w:p>
        </w:tc>
        <w:tc>
          <w:tcPr>
            <w:tcW w:w="951" w:type="pct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Mode d’évaluation</w:t>
            </w:r>
          </w:p>
        </w:tc>
      </w:tr>
      <w:tr w:rsidR="001D1B38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Intitulé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Cours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TP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Contrôle Continu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Examen</w:t>
            </w:r>
          </w:p>
        </w:tc>
      </w:tr>
      <w:tr w:rsidR="00083461" w:rsidRPr="00083461" w:rsidTr="00083461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UE Fondamentale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Code : UEF 3.1.1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Crédits : 12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Coefficients : 6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 xml:space="preserve">Résistance des 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Matériaux 2</w:t>
            </w:r>
          </w:p>
        </w:tc>
        <w:tc>
          <w:tcPr>
            <w:tcW w:w="3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40%</w:t>
            </w:r>
          </w:p>
        </w:tc>
        <w:tc>
          <w:tcPr>
            <w:tcW w:w="50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60%</w:t>
            </w:r>
          </w:p>
        </w:tc>
      </w:tr>
      <w:tr w:rsidR="00083461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FF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FF"/>
                <w:sz w:val="20"/>
                <w:szCs w:val="20"/>
              </w:rPr>
              <w:t>Béton Armé 1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FF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FF0000"/>
                <w:sz w:val="20"/>
                <w:szCs w:val="20"/>
              </w:rPr>
              <w:t>40%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CCFF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FF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FF0000"/>
                <w:sz w:val="20"/>
                <w:szCs w:val="20"/>
              </w:rPr>
              <w:t>60%</w:t>
            </w:r>
          </w:p>
        </w:tc>
      </w:tr>
      <w:tr w:rsidR="00083461" w:rsidRPr="00083461" w:rsidTr="00083461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Charpente Métallique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60%</w:t>
            </w:r>
          </w:p>
        </w:tc>
      </w:tr>
      <w:tr w:rsidR="00083461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UE Fondamentale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Code : UEF 3.1.2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Crédits : 6</w:t>
            </w:r>
          </w:p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Coefficients : 3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Mécanique des Sols 2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72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45h00</w:t>
            </w:r>
          </w:p>
        </w:tc>
        <w:tc>
          <w:tcPr>
            <w:tcW w:w="4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40%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60%</w:t>
            </w:r>
          </w:p>
        </w:tc>
      </w:tr>
      <w:tr w:rsidR="00083461" w:rsidRPr="00083461" w:rsidTr="0008346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Matériaux de Construction 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27h30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100%</w:t>
            </w:r>
          </w:p>
        </w:tc>
      </w:tr>
      <w:tr w:rsidR="00083461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UE Méthodologique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Code : UEM 3.1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Crédits : 9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Coefficients : 5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TP Topographie</w:t>
            </w:r>
          </w:p>
        </w:tc>
        <w:tc>
          <w:tcPr>
            <w:tcW w:w="36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49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27h30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100%</w:t>
            </w:r>
          </w:p>
        </w:tc>
        <w:tc>
          <w:tcPr>
            <w:tcW w:w="50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083461" w:rsidRPr="00083461" w:rsidTr="0008346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TP Mécanique des sols 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27h30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100%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</w:tr>
      <w:tr w:rsidR="00083461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TP Matériaux de Construction 2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1h30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27h30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083461" w:rsidRPr="00083461" w:rsidTr="0008346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Dessin du BTP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2h30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37h30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37h30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</w:tr>
      <w:tr w:rsidR="00083461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UE Découverte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Code : UED 3.1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Crédits : 2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Coefficients : 2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Topographie 2</w:t>
            </w:r>
          </w:p>
        </w:tc>
        <w:tc>
          <w:tcPr>
            <w:tcW w:w="365" w:type="pct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02h30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083461" w:rsidRPr="00083461" w:rsidTr="00083461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Hydraulique générale</w:t>
            </w:r>
          </w:p>
        </w:tc>
        <w:tc>
          <w:tcPr>
            <w:tcW w:w="365" w:type="pct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02h30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083461" w:rsidRPr="00083461" w:rsidTr="00083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UE Transversale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Code : UET 3.1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Crédits : 1</w:t>
            </w:r>
          </w:p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 w:val="0"/>
                <w:bCs w:val="0"/>
                <w:color w:val="000000"/>
                <w:sz w:val="20"/>
                <w:szCs w:val="20"/>
              </w:rPr>
              <w:t>Coefficients : 1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Techniques et règles de construction</w:t>
            </w:r>
          </w:p>
        </w:tc>
        <w:tc>
          <w:tcPr>
            <w:tcW w:w="36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sz w:val="20"/>
                <w:szCs w:val="20"/>
              </w:rPr>
              <w:t>1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1h30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22h30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02h30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100%</w:t>
            </w:r>
          </w:p>
        </w:tc>
      </w:tr>
      <w:tr w:rsidR="00083461" w:rsidRPr="00083461" w:rsidTr="0008346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color w:val="000000"/>
                <w:sz w:val="20"/>
                <w:szCs w:val="20"/>
              </w:rPr>
              <w:t>Total semestre 5</w:t>
            </w:r>
          </w:p>
        </w:tc>
        <w:tc>
          <w:tcPr>
            <w:tcW w:w="58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83461">
              <w:rPr>
                <w:rFonts w:asciiTheme="majorHAnsi" w:hAnsiTheme="majorHAnsi"/>
                <w:b/>
                <w:bCs/>
                <w:sz w:val="20"/>
                <w:szCs w:val="20"/>
              </w:rPr>
              <w:t>12h00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6h00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  <w:t>7h00</w:t>
            </w:r>
          </w:p>
        </w:tc>
        <w:tc>
          <w:tcPr>
            <w:tcW w:w="49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  <w:t>375h00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</w:pPr>
            <w:r w:rsidRPr="00083461">
              <w:rPr>
                <w:rFonts w:asciiTheme="majorHAnsi" w:eastAsia="Calibri" w:hAnsiTheme="majorHAnsi" w:cs="Calibri"/>
                <w:b/>
                <w:bCs/>
                <w:sz w:val="20"/>
                <w:szCs w:val="20"/>
              </w:rPr>
              <w:t>375h00</w:t>
            </w:r>
          </w:p>
        </w:tc>
        <w:tc>
          <w:tcPr>
            <w:tcW w:w="44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83461" w:rsidRPr="00083461" w:rsidRDefault="00083461" w:rsidP="00F86327">
            <w:pPr>
              <w:autoSpaceDE w:val="0"/>
              <w:autoSpaceDN w:val="0"/>
              <w:adjustRightIn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83461" w:rsidRDefault="00083461" w:rsidP="00083461">
      <w:pPr>
        <w:rPr>
          <w:rFonts w:asciiTheme="majorHAnsi" w:eastAsia="Calibri" w:hAnsiTheme="majorHAnsi" w:cs="Calibri"/>
          <w:b/>
          <w:bCs/>
          <w:color w:val="000000"/>
          <w:u w:val="thick" w:color="F79646" w:themeColor="accent6"/>
        </w:rPr>
      </w:pPr>
    </w:p>
    <w:p w:rsidR="001A2823" w:rsidRDefault="001A2823"/>
    <w:p w:rsidR="00E93CE4" w:rsidRDefault="00E93CE4"/>
    <w:p w:rsidR="00E93CE4" w:rsidRDefault="00E93CE4"/>
    <w:p w:rsidR="00E93CE4" w:rsidRDefault="00E93CE4"/>
    <w:p w:rsidR="00E93CE4" w:rsidRDefault="00E93CE4"/>
    <w:p w:rsidR="00E93CE4" w:rsidRPr="000D6348" w:rsidRDefault="00E93CE4" w:rsidP="00E93CE4">
      <w:pPr>
        <w:pStyle w:val="matires"/>
      </w:pPr>
      <w:r w:rsidRPr="000D6348">
        <w:lastRenderedPageBreak/>
        <w:t>Semestre: 5</w:t>
      </w:r>
    </w:p>
    <w:p w:rsidR="00E93CE4" w:rsidRPr="000D6348" w:rsidRDefault="00E93CE4" w:rsidP="00E93CE4">
      <w:pPr>
        <w:pStyle w:val="matires"/>
      </w:pPr>
      <w:r w:rsidRPr="000D6348">
        <w:t>Unité d’enseignement: UEF 3.1.1</w:t>
      </w:r>
    </w:p>
    <w:p w:rsidR="00E93CE4" w:rsidRPr="000D6348" w:rsidRDefault="00E93CE4" w:rsidP="00E93CE4">
      <w:pPr>
        <w:pStyle w:val="matires"/>
      </w:pPr>
      <w:r w:rsidRPr="000D6348">
        <w:t>Matière 2: Béton armé 1</w:t>
      </w:r>
    </w:p>
    <w:p w:rsidR="00E93CE4" w:rsidRPr="000D6348" w:rsidRDefault="00E93CE4" w:rsidP="00E93CE4">
      <w:pPr>
        <w:pStyle w:val="matires"/>
      </w:pPr>
      <w:r w:rsidRPr="000D6348">
        <w:t>VHS: 45h00 (Cours: 1h30, TD: 1h30)</w:t>
      </w:r>
    </w:p>
    <w:p w:rsidR="00E93CE4" w:rsidRPr="000D6348" w:rsidRDefault="00E93CE4" w:rsidP="00E93CE4">
      <w:pPr>
        <w:pStyle w:val="matires"/>
      </w:pPr>
      <w:r w:rsidRPr="000D6348">
        <w:t>Crédits: 4</w:t>
      </w:r>
    </w:p>
    <w:p w:rsidR="00E93CE4" w:rsidRPr="000D6348" w:rsidRDefault="00E93CE4" w:rsidP="00E93CE4">
      <w:pPr>
        <w:pStyle w:val="matires"/>
      </w:pPr>
      <w:r w:rsidRPr="000D6348">
        <w:t>Coefficient: 2</w:t>
      </w:r>
    </w:p>
    <w:p w:rsidR="00E93CE4" w:rsidRDefault="00E93CE4" w:rsidP="00E93CE4">
      <w:pPr>
        <w:pStyle w:val="Titre1-Domaine"/>
        <w:rPr>
          <w:lang w:eastAsia="en-US"/>
        </w:rPr>
      </w:pPr>
    </w:p>
    <w:p w:rsidR="00E93CE4" w:rsidRPr="000D6348" w:rsidRDefault="00E93CE4" w:rsidP="00E93CE4">
      <w:pPr>
        <w:pStyle w:val="Titre1-Domaine"/>
        <w:rPr>
          <w:lang w:eastAsia="en-US"/>
        </w:rPr>
      </w:pPr>
      <w:r w:rsidRPr="000D6348">
        <w:rPr>
          <w:lang w:eastAsia="en-US"/>
        </w:rPr>
        <w:t>Objectifs de l’enseignement:</w:t>
      </w:r>
    </w:p>
    <w:p w:rsidR="00E93CE4" w:rsidRPr="000D6348" w:rsidRDefault="00E93CE4" w:rsidP="00E93CE4">
      <w:pPr>
        <w:pStyle w:val="Contenu-CPNDST"/>
      </w:pPr>
      <w:r w:rsidRPr="000D6348">
        <w:t>Enseigner les caractéristiques physiques et mécaniques du béton armé. Apprendre le dimensionnement des sections soumises à des sollicitations simples (traction, compression et flexion simple) selon les règles BAEL, CBA93.</w:t>
      </w:r>
    </w:p>
    <w:p w:rsidR="00E93CE4" w:rsidRPr="000D6348" w:rsidRDefault="00E93CE4" w:rsidP="00E93CE4">
      <w:pPr>
        <w:pStyle w:val="Titre1-Domaine"/>
        <w:rPr>
          <w:color w:val="000000"/>
          <w:lang w:eastAsia="en-US"/>
        </w:rPr>
      </w:pPr>
      <w:r w:rsidRPr="000D6348">
        <w:t>Connaissances préalables recommandées</w:t>
      </w:r>
      <w:r w:rsidRPr="000D6348">
        <w:rPr>
          <w:color w:val="000000"/>
          <w:lang w:eastAsia="en-US"/>
        </w:rPr>
        <w:t>:</w:t>
      </w:r>
    </w:p>
    <w:p w:rsidR="00E93CE4" w:rsidRPr="000D6348" w:rsidRDefault="00E93CE4" w:rsidP="00E93CE4">
      <w:pPr>
        <w:pStyle w:val="Contenu-CPNDST"/>
      </w:pPr>
      <w:r w:rsidRPr="000D6348">
        <w:t>Résistance des matériaux 1, Matériaux de constructions.</w:t>
      </w:r>
    </w:p>
    <w:p w:rsidR="00E93CE4" w:rsidRPr="000D6348" w:rsidRDefault="00E93CE4" w:rsidP="00E93CE4">
      <w:pPr>
        <w:pStyle w:val="Titre1-Domaine"/>
        <w:rPr>
          <w:bCs/>
        </w:rPr>
      </w:pPr>
      <w:r w:rsidRPr="000D6348">
        <w:t xml:space="preserve">Contenu de la matière: </w:t>
      </w:r>
    </w:p>
    <w:p w:rsidR="00E93CE4" w:rsidRPr="00D211D5" w:rsidRDefault="00E93CE4" w:rsidP="00E93CE4">
      <w:pPr>
        <w:pStyle w:val="Chap-Domaine"/>
      </w:pPr>
      <w:r w:rsidRPr="00D211D5">
        <w:t>Chapitre 1. Formulation et propriétés mécaniques du béton armé</w:t>
      </w:r>
      <w:r w:rsidRPr="00D211D5">
        <w:tab/>
        <w:t>(2 Semaines)</w:t>
      </w:r>
    </w:p>
    <w:p w:rsidR="00E93CE4" w:rsidRPr="000D6348" w:rsidRDefault="00E93CE4" w:rsidP="00E93CE4">
      <w:pPr>
        <w:pStyle w:val="Contenu-CPNDST"/>
      </w:pPr>
      <w:r w:rsidRPr="000D6348">
        <w:t>Définition et généralités, Constituants du béton armé, Propriétés mécaniques.</w:t>
      </w:r>
    </w:p>
    <w:p w:rsidR="00E93CE4" w:rsidRPr="00D211D5" w:rsidRDefault="00E93CE4" w:rsidP="00E93CE4">
      <w:pPr>
        <w:pStyle w:val="Chap-Domaine"/>
      </w:pPr>
      <w:r w:rsidRPr="00D211D5">
        <w:t>Chapitre 2. Prescriptions réglementaires</w:t>
      </w:r>
      <w:r w:rsidRPr="00D211D5">
        <w:tab/>
        <w:t>(3 Semaines)</w:t>
      </w:r>
    </w:p>
    <w:p w:rsidR="00E93CE4" w:rsidRPr="000D6348" w:rsidRDefault="00E93CE4" w:rsidP="00E93CE4">
      <w:pPr>
        <w:pStyle w:val="Contenu-CPNDST"/>
      </w:pPr>
      <w:r w:rsidRPr="000D6348">
        <w:t>Règle des pivots, Etats limites, Combinaisons d’actions, Condition de non fragilité</w:t>
      </w:r>
      <w:bookmarkStart w:id="0" w:name="_GoBack"/>
      <w:bookmarkEnd w:id="0"/>
    </w:p>
    <w:p w:rsidR="00E93CE4" w:rsidRPr="00D211D5" w:rsidRDefault="00E93CE4" w:rsidP="00E93CE4">
      <w:pPr>
        <w:pStyle w:val="Chap-Domaine"/>
      </w:pPr>
      <w:r w:rsidRPr="00D211D5">
        <w:t>Chapitre 3. Adhérence et ancrage</w:t>
      </w:r>
      <w:r w:rsidRPr="00D211D5">
        <w:tab/>
        <w:t>(3 Semaines)</w:t>
      </w:r>
    </w:p>
    <w:p w:rsidR="00E93CE4" w:rsidRPr="000D6348" w:rsidRDefault="00E93CE4" w:rsidP="00E93CE4">
      <w:pPr>
        <w:pStyle w:val="Contenu-CPNDST"/>
      </w:pPr>
      <w:r w:rsidRPr="000D6348">
        <w:t>Contrainte d’adhérence, Ancrage d’une barre isolée droite, Ancrage par courbure, Recouvrement</w:t>
      </w:r>
    </w:p>
    <w:p w:rsidR="00E93CE4" w:rsidRPr="001D1B38" w:rsidRDefault="00E93CE4" w:rsidP="001D1B38">
      <w:pPr>
        <w:pStyle w:val="Chap-Domaine"/>
        <w:rPr>
          <w:u w:val="single"/>
        </w:rPr>
      </w:pPr>
      <w:r w:rsidRPr="00D211D5">
        <w:t xml:space="preserve">Chapitre 4. Compression simple </w:t>
      </w:r>
      <w:r w:rsidRPr="00D211D5">
        <w:tab/>
      </w:r>
      <w:r w:rsidRPr="001D1B38">
        <w:rPr>
          <w:u w:val="single"/>
        </w:rPr>
        <w:t>(</w:t>
      </w:r>
      <w:r w:rsidR="001D1B38" w:rsidRPr="001D1B38">
        <w:rPr>
          <w:u w:val="single"/>
        </w:rPr>
        <w:t>3</w:t>
      </w:r>
      <w:r w:rsidRPr="001D1B38">
        <w:rPr>
          <w:u w:val="single"/>
        </w:rPr>
        <w:t xml:space="preserve"> Semaines)</w:t>
      </w:r>
    </w:p>
    <w:p w:rsidR="00E93CE4" w:rsidRPr="000D6348" w:rsidRDefault="00E93CE4" w:rsidP="00E93CE4">
      <w:pPr>
        <w:pStyle w:val="Contenu-CPNDST"/>
      </w:pPr>
      <w:r w:rsidRPr="000D6348">
        <w:t>Etat limite ultime de résistance, état limite de service</w:t>
      </w:r>
    </w:p>
    <w:p w:rsidR="00E93CE4" w:rsidRPr="00D211D5" w:rsidRDefault="00E93CE4" w:rsidP="001D1B38">
      <w:pPr>
        <w:pStyle w:val="Chap-Domaine"/>
      </w:pPr>
      <w:r w:rsidRPr="00D211D5">
        <w:t xml:space="preserve">Chapitre5. Traction simple </w:t>
      </w:r>
      <w:r w:rsidRPr="00D211D5">
        <w:tab/>
      </w:r>
      <w:r w:rsidRPr="001D1B38">
        <w:rPr>
          <w:u w:val="single"/>
        </w:rPr>
        <w:t>(</w:t>
      </w:r>
      <w:r w:rsidR="001D1B38" w:rsidRPr="001D1B38">
        <w:rPr>
          <w:u w:val="single"/>
        </w:rPr>
        <w:t>2</w:t>
      </w:r>
      <w:r w:rsidRPr="001D1B38">
        <w:rPr>
          <w:u w:val="single"/>
        </w:rPr>
        <w:t xml:space="preserve"> Semaines)</w:t>
      </w:r>
    </w:p>
    <w:p w:rsidR="00E93CE4" w:rsidRPr="000D6348" w:rsidRDefault="00E93CE4" w:rsidP="00E93CE4">
      <w:pPr>
        <w:pStyle w:val="Contenu-CPNDST"/>
      </w:pPr>
      <w:r w:rsidRPr="000D6348">
        <w:t>Etat limite ultime de résistance, état limite de service</w:t>
      </w:r>
    </w:p>
    <w:p w:rsidR="00E93CE4" w:rsidRPr="000D6348" w:rsidRDefault="00E93CE4" w:rsidP="00E93CE4">
      <w:pPr>
        <w:pStyle w:val="Titre1-Domaine"/>
        <w:rPr>
          <w:snapToGrid w:val="0"/>
        </w:rPr>
      </w:pPr>
      <w:r w:rsidRPr="000D6348">
        <w:rPr>
          <w:snapToGrid w:val="0"/>
        </w:rPr>
        <w:t>Mode d’évaluation:</w:t>
      </w:r>
    </w:p>
    <w:p w:rsidR="00E93CE4" w:rsidRPr="000D6348" w:rsidRDefault="00E93CE4" w:rsidP="00E93CE4">
      <w:pPr>
        <w:autoSpaceDE w:val="0"/>
        <w:autoSpaceDN w:val="0"/>
        <w:adjustRightInd w:val="0"/>
        <w:rPr>
          <w:rFonts w:asciiTheme="majorHAnsi" w:hAnsiTheme="majorHAnsi" w:cs="Cambria"/>
          <w:color w:val="000000"/>
        </w:rPr>
      </w:pPr>
      <w:r w:rsidRPr="000D6348">
        <w:rPr>
          <w:rFonts w:asciiTheme="majorHAnsi" w:hAnsiTheme="majorHAnsi" w:cs="Cambria"/>
          <w:color w:val="000000"/>
        </w:rPr>
        <w:t>Contrôle Continu: 40%; Examen: 60%.</w:t>
      </w:r>
    </w:p>
    <w:p w:rsidR="00E93CE4" w:rsidRDefault="00E93CE4" w:rsidP="00E93CE4">
      <w:pPr>
        <w:pStyle w:val="Titre1-Domaine"/>
        <w:rPr>
          <w:snapToGrid w:val="0"/>
        </w:rPr>
      </w:pPr>
    </w:p>
    <w:p w:rsidR="00E93CE4" w:rsidRPr="000D6348" w:rsidRDefault="00E93CE4" w:rsidP="00E93CE4">
      <w:pPr>
        <w:pStyle w:val="Titre1-Domaine"/>
        <w:rPr>
          <w:snapToGrid w:val="0"/>
        </w:rPr>
      </w:pPr>
      <w:r w:rsidRPr="000D6348">
        <w:rPr>
          <w:snapToGrid w:val="0"/>
        </w:rPr>
        <w:t>Références bibliographiques:</w:t>
      </w:r>
    </w:p>
    <w:p w:rsidR="00E93CE4" w:rsidRPr="00E93CE4" w:rsidRDefault="00E93CE4" w:rsidP="00E93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frenceple"/>
          <w:sz w:val="24"/>
          <w:szCs w:val="24"/>
        </w:rPr>
      </w:pPr>
      <w:r w:rsidRPr="00E93CE4">
        <w:rPr>
          <w:rStyle w:val="Rfrenceple"/>
          <w:sz w:val="24"/>
          <w:szCs w:val="24"/>
        </w:rPr>
        <w:t>D.T.R-B.C.2-41, "Règles de conception et de calcul des structures en béton armé", (CBA 93).</w:t>
      </w:r>
    </w:p>
    <w:p w:rsidR="00E93CE4" w:rsidRPr="00E93CE4" w:rsidRDefault="00E93CE4" w:rsidP="00E93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frenceple"/>
          <w:sz w:val="24"/>
          <w:szCs w:val="24"/>
        </w:rPr>
      </w:pPr>
      <w:r w:rsidRPr="00E93CE4">
        <w:rPr>
          <w:rStyle w:val="Rfrenceple"/>
          <w:sz w:val="24"/>
          <w:szCs w:val="24"/>
        </w:rPr>
        <w:t xml:space="preserve">Jean- Pierre </w:t>
      </w:r>
      <w:proofErr w:type="spellStart"/>
      <w:r w:rsidRPr="00E93CE4">
        <w:rPr>
          <w:rStyle w:val="Rfrenceple"/>
          <w:sz w:val="24"/>
          <w:szCs w:val="24"/>
        </w:rPr>
        <w:t>Mouguin</w:t>
      </w:r>
      <w:proofErr w:type="spellEnd"/>
      <w:r w:rsidRPr="00E93CE4">
        <w:rPr>
          <w:rStyle w:val="Rfrenceple"/>
          <w:sz w:val="24"/>
          <w:szCs w:val="24"/>
        </w:rPr>
        <w:t>, "Cours de béton armé", B.A.E.L. 91", BERTI Edition.</w:t>
      </w:r>
    </w:p>
    <w:p w:rsidR="00E93CE4" w:rsidRPr="00E93CE4" w:rsidRDefault="00E93CE4" w:rsidP="00E93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frenceple"/>
          <w:sz w:val="24"/>
          <w:szCs w:val="24"/>
        </w:rPr>
      </w:pPr>
      <w:r w:rsidRPr="00E93CE4">
        <w:rPr>
          <w:rStyle w:val="Rfrenceple"/>
          <w:sz w:val="24"/>
          <w:szCs w:val="24"/>
        </w:rPr>
        <w:t xml:space="preserve">Jean </w:t>
      </w:r>
      <w:proofErr w:type="spellStart"/>
      <w:r w:rsidRPr="00E93CE4">
        <w:rPr>
          <w:rStyle w:val="Rfrenceple"/>
          <w:sz w:val="24"/>
          <w:szCs w:val="24"/>
        </w:rPr>
        <w:t>Perchat</w:t>
      </w:r>
      <w:proofErr w:type="spellEnd"/>
      <w:r w:rsidRPr="00E93CE4">
        <w:rPr>
          <w:rStyle w:val="Rfrenceple"/>
          <w:sz w:val="24"/>
          <w:szCs w:val="24"/>
        </w:rPr>
        <w:t xml:space="preserve"> et Jean Roux, "Maitrise du B.A.E.L. 91 et des D.T.U associés", EYROLLES.</w:t>
      </w:r>
    </w:p>
    <w:p w:rsidR="00E93CE4" w:rsidRPr="00E93CE4" w:rsidRDefault="00E93CE4" w:rsidP="00E93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frenceple"/>
          <w:sz w:val="24"/>
          <w:szCs w:val="24"/>
        </w:rPr>
      </w:pPr>
      <w:r w:rsidRPr="00E93CE4">
        <w:rPr>
          <w:rStyle w:val="Rfrenceple"/>
          <w:sz w:val="24"/>
          <w:szCs w:val="24"/>
        </w:rPr>
        <w:t xml:space="preserve">Jean </w:t>
      </w:r>
      <w:proofErr w:type="spellStart"/>
      <w:r w:rsidRPr="00E93CE4">
        <w:rPr>
          <w:rStyle w:val="Rfrenceple"/>
          <w:sz w:val="24"/>
          <w:szCs w:val="24"/>
        </w:rPr>
        <w:t>Perchat</w:t>
      </w:r>
      <w:proofErr w:type="spellEnd"/>
      <w:r w:rsidRPr="00E93CE4">
        <w:rPr>
          <w:rStyle w:val="Rfrenceple"/>
          <w:sz w:val="24"/>
          <w:szCs w:val="24"/>
        </w:rPr>
        <w:t xml:space="preserve"> et Jean Roux, "Pratique du B.A.E.L. 91 (Cours avec exercices corrigés)", EYROLLES.</w:t>
      </w:r>
    </w:p>
    <w:p w:rsidR="00E93CE4" w:rsidRPr="00E93CE4" w:rsidRDefault="00E93CE4" w:rsidP="00E93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frenceple"/>
          <w:sz w:val="24"/>
          <w:szCs w:val="24"/>
        </w:rPr>
      </w:pPr>
      <w:r w:rsidRPr="00E93CE4">
        <w:rPr>
          <w:rStyle w:val="Rfrenceple"/>
          <w:sz w:val="24"/>
          <w:szCs w:val="24"/>
        </w:rPr>
        <w:t>Pierre Charon," Exercice de béton armé selon les règles B.A.E.L. 83", EYROLLES, 2ème édition.</w:t>
      </w:r>
    </w:p>
    <w:p w:rsidR="00E93CE4" w:rsidRPr="00E93CE4" w:rsidRDefault="00E93CE4" w:rsidP="00E93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Rfrenceple"/>
          <w:sz w:val="24"/>
          <w:szCs w:val="24"/>
        </w:rPr>
      </w:pPr>
      <w:r w:rsidRPr="00E93CE4">
        <w:rPr>
          <w:rStyle w:val="Rfrenceple"/>
          <w:sz w:val="24"/>
          <w:szCs w:val="24"/>
        </w:rPr>
        <w:t>Jean-Marie Paillé, " Calcul des structures en béton Guide d’application", Eyrolles, 2013.</w:t>
      </w:r>
    </w:p>
    <w:p w:rsidR="00E93CE4" w:rsidRPr="00E93CE4" w:rsidRDefault="00E93CE4" w:rsidP="00E93CE4">
      <w:pPr>
        <w:rPr>
          <w:rFonts w:asciiTheme="majorHAnsi" w:hAnsiTheme="majorHAnsi" w:cs="Cambria"/>
          <w:sz w:val="24"/>
          <w:szCs w:val="24"/>
        </w:rPr>
      </w:pPr>
      <w:r w:rsidRPr="00E93CE4">
        <w:rPr>
          <w:rFonts w:asciiTheme="majorHAnsi" w:hAnsiTheme="majorHAnsi" w:cs="Cambria"/>
          <w:sz w:val="24"/>
          <w:szCs w:val="24"/>
        </w:rPr>
        <w:br w:type="page"/>
      </w:r>
    </w:p>
    <w:p w:rsidR="00E93CE4" w:rsidRDefault="00E93CE4"/>
    <w:sectPr w:rsidR="00E93CE4" w:rsidSect="000834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60E72"/>
    <w:multiLevelType w:val="hybridMultilevel"/>
    <w:tmpl w:val="E69C71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3461"/>
    <w:rsid w:val="00083461"/>
    <w:rsid w:val="001A2823"/>
    <w:rsid w:val="001D1B38"/>
    <w:rsid w:val="00E9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5FA0"/>
  <w15:docId w15:val="{E63E3281-1C9A-4808-BD97-1CEE8852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moyenne2-Accent6">
    <w:name w:val="Medium Shading 2 Accent 6"/>
    <w:basedOn w:val="TableauNormal"/>
    <w:uiPriority w:val="64"/>
    <w:rsid w:val="00083461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ntenu-CPNDST">
    <w:name w:val="Contenu-CPNDST"/>
    <w:basedOn w:val="Normal"/>
    <w:qFormat/>
    <w:rsid w:val="00E93CE4"/>
    <w:pPr>
      <w:spacing w:after="0" w:line="240" w:lineRule="auto"/>
      <w:ind w:left="142"/>
      <w:jc w:val="both"/>
    </w:pPr>
    <w:rPr>
      <w:rFonts w:ascii="Cambria" w:eastAsia="SimSun" w:hAnsi="Cambria" w:cs="Cambria"/>
      <w:lang w:eastAsia="zh-CN"/>
    </w:rPr>
  </w:style>
  <w:style w:type="paragraph" w:customStyle="1" w:styleId="Titre1-Domaine">
    <w:name w:val="Titre 1 -Domaine"/>
    <w:basedOn w:val="Normal"/>
    <w:qFormat/>
    <w:rsid w:val="00E93CE4"/>
    <w:pPr>
      <w:spacing w:before="120" w:after="0"/>
      <w:jc w:val="both"/>
    </w:pPr>
    <w:rPr>
      <w:rFonts w:ascii="Cambria" w:eastAsia="SimSun" w:hAnsi="Cambria" w:cs="Calibri"/>
      <w:b/>
      <w:sz w:val="24"/>
      <w:szCs w:val="24"/>
      <w:u w:val="thick" w:color="F79646"/>
      <w:lang w:eastAsia="zh-CN"/>
    </w:rPr>
  </w:style>
  <w:style w:type="paragraph" w:customStyle="1" w:styleId="matires">
    <w:name w:val="matières"/>
    <w:basedOn w:val="Normal"/>
    <w:link w:val="matiresCar"/>
    <w:qFormat/>
    <w:rsid w:val="00E93CE4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/>
      <w:jc w:val="both"/>
    </w:pPr>
    <w:rPr>
      <w:rFonts w:ascii="Cambria" w:eastAsia="SimSun" w:hAnsi="Cambria" w:cs="Calibri"/>
      <w:b/>
      <w:sz w:val="24"/>
      <w:szCs w:val="24"/>
      <w:lang w:eastAsia="zh-CN"/>
    </w:rPr>
  </w:style>
  <w:style w:type="character" w:customStyle="1" w:styleId="matiresCar">
    <w:name w:val="matières Car"/>
    <w:basedOn w:val="Policepardfaut"/>
    <w:link w:val="matires"/>
    <w:rsid w:val="00E93CE4"/>
    <w:rPr>
      <w:rFonts w:ascii="Cambria" w:eastAsia="SimSun" w:hAnsi="Cambria" w:cs="Calibri"/>
      <w:b/>
      <w:sz w:val="24"/>
      <w:szCs w:val="24"/>
      <w:shd w:val="clear" w:color="auto" w:fill="DAEEF3"/>
      <w:lang w:eastAsia="zh-CN"/>
    </w:rPr>
  </w:style>
  <w:style w:type="paragraph" w:customStyle="1" w:styleId="Chap-Domaine">
    <w:name w:val="Chap-Domaine"/>
    <w:basedOn w:val="Normal"/>
    <w:qFormat/>
    <w:rsid w:val="00E93CE4"/>
    <w:pPr>
      <w:tabs>
        <w:tab w:val="right" w:pos="9638"/>
      </w:tabs>
      <w:autoSpaceDE w:val="0"/>
      <w:autoSpaceDN w:val="0"/>
      <w:adjustRightInd w:val="0"/>
      <w:spacing w:before="60" w:after="0" w:line="240" w:lineRule="auto"/>
      <w:contextualSpacing/>
      <w:jc w:val="both"/>
    </w:pPr>
    <w:rPr>
      <w:rFonts w:ascii="Calibri" w:eastAsia="SimSun" w:hAnsi="Calibri" w:cs="Cambria"/>
      <w:b/>
      <w:bCs/>
      <w:sz w:val="24"/>
      <w:szCs w:val="24"/>
      <w:lang w:eastAsia="zh-CN"/>
    </w:rPr>
  </w:style>
  <w:style w:type="character" w:styleId="Rfrenceple">
    <w:name w:val="Subtle Reference"/>
    <w:aliases w:val="Référence Domaine ST"/>
    <w:uiPriority w:val="31"/>
    <w:qFormat/>
    <w:rsid w:val="00E93CE4"/>
    <w:rPr>
      <w:rFonts w:ascii="Cambria" w:hAnsi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LENOVO</cp:lastModifiedBy>
  <cp:revision>4</cp:revision>
  <dcterms:created xsi:type="dcterms:W3CDTF">2020-12-13T22:12:00Z</dcterms:created>
  <dcterms:modified xsi:type="dcterms:W3CDTF">2025-09-26T20:39:00Z</dcterms:modified>
</cp:coreProperties>
</file>