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pPr w:leftFromText="180" w:rightFromText="180" w:vertAnchor="text" w:horzAnchor="margin" w:tblpX="-572" w:tblpY="-711"/>
        <w:tblW w:w="1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7"/>
        <w:gridCol w:w="3627"/>
        <w:gridCol w:w="1134"/>
        <w:gridCol w:w="1134"/>
        <w:gridCol w:w="1134"/>
        <w:gridCol w:w="1749"/>
      </w:tblGrid>
      <w:tr w:rsidR="0000399F" w14:paraId="0968C7E2" w14:textId="77777777" w:rsidTr="00784829">
        <w:trPr>
          <w:trHeight w:val="1114"/>
        </w:trPr>
        <w:tc>
          <w:tcPr>
            <w:tcW w:w="11335" w:type="dxa"/>
            <w:gridSpan w:val="6"/>
          </w:tcPr>
          <w:p w14:paraId="2591AAF8" w14:textId="634D62F2" w:rsidR="006673C6" w:rsidRPr="0086097F" w:rsidRDefault="006673C6" w:rsidP="00551B8C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>Cours </w:t>
            </w:r>
            <w:proofErr w:type="spellStart"/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>Written</w:t>
            </w:r>
            <w:proofErr w:type="spellEnd"/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 xml:space="preserve"> Expression </w:t>
            </w:r>
          </w:p>
          <w:p w14:paraId="6058AC61" w14:textId="50C23E7F" w:rsidR="006673C6" w:rsidRPr="0086097F" w:rsidRDefault="006673C6" w:rsidP="00551B8C">
            <w:pPr>
              <w:suppressAutoHyphens/>
              <w:spacing w:before="120" w:line="360" w:lineRule="auto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eastAsia="zh-CN"/>
              </w:rPr>
              <w:t>Niveau :</w:t>
            </w:r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 xml:space="preserve"> First </w:t>
            </w:r>
            <w:proofErr w:type="spellStart"/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>year</w:t>
            </w:r>
            <w:proofErr w:type="spellEnd"/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 xml:space="preserve"> LMD </w:t>
            </w:r>
            <w:proofErr w:type="spellStart"/>
            <w:proofErr w:type="gramStart"/>
            <w:r w:rsidRPr="008135D5">
              <w:rPr>
                <w:rFonts w:asciiTheme="majorBidi" w:eastAsia="Calibri" w:hAnsiTheme="majorBidi" w:cstheme="majorBidi"/>
                <w:sz w:val="28"/>
                <w:szCs w:val="28"/>
                <w:lang w:eastAsia="zh-CN"/>
              </w:rPr>
              <w:t>students</w:t>
            </w:r>
            <w:proofErr w:type="spellEnd"/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 xml:space="preserve">  (</w:t>
            </w:r>
            <w:proofErr w:type="gramEnd"/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>1er semestre)</w:t>
            </w:r>
          </w:p>
          <w:p w14:paraId="44D9FF99" w14:textId="3AF9C5CF" w:rsidR="006673C6" w:rsidRPr="0086097F" w:rsidRDefault="006673C6" w:rsidP="00551B8C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highlight w:val="green"/>
                <w:lang w:eastAsia="zh-CN"/>
              </w:rPr>
              <w:t>Préparé par</w:t>
            </w:r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 xml:space="preserve"> : Dr. Yasser BEN MOUSSA</w:t>
            </w:r>
          </w:p>
          <w:p w14:paraId="7A2F5BCF" w14:textId="389F74D3" w:rsidR="006673C6" w:rsidRPr="0086097F" w:rsidRDefault="006673C6" w:rsidP="00551B8C">
            <w:pPr>
              <w:suppressAutoHyphens/>
              <w:autoSpaceDE w:val="0"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09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 Session : Janvier – 2025 – </w:t>
            </w:r>
          </w:p>
          <w:p w14:paraId="05E1FC21" w14:textId="77777777" w:rsidR="006673C6" w:rsidRPr="0086097F" w:rsidRDefault="006673C6" w:rsidP="00551B8C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highlight w:val="yellow"/>
                <w:lang w:eastAsia="zh-CN"/>
              </w:rPr>
              <w:t>Testeur</w:t>
            </w: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highlight w:val="yellow"/>
                <w:lang w:eastAsia="zh-CN"/>
              </w:rPr>
              <w:t xml:space="preserve"> :</w:t>
            </w:r>
          </w:p>
          <w:p w14:paraId="63E087C5" w14:textId="03BFC53B" w:rsidR="006673C6" w:rsidRPr="0086097F" w:rsidRDefault="006673C6" w:rsidP="00551B8C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 xml:space="preserve">Nom et Prénom : </w:t>
            </w:r>
            <w:r w:rsidR="00D33D01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Gourari Mounira</w:t>
            </w:r>
          </w:p>
          <w:p w14:paraId="37C57BF1" w14:textId="6B86AEEB" w:rsidR="006673C6" w:rsidRPr="0086097F" w:rsidRDefault="006673C6" w:rsidP="00551B8C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Université : Biskra</w:t>
            </w:r>
          </w:p>
          <w:p w14:paraId="2E308B31" w14:textId="5BA7EDF7" w:rsidR="006673C6" w:rsidRPr="0086097F" w:rsidRDefault="00D33D01" w:rsidP="00551B8C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Level</w:t>
            </w:r>
            <w:proofErr w:type="spellEnd"/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 xml:space="preserve"> : </w:t>
            </w:r>
            <w:proofErr w:type="spellStart"/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Third</w:t>
            </w:r>
            <w:proofErr w:type="spellEnd"/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year</w:t>
            </w:r>
            <w:proofErr w:type="spellEnd"/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14:paraId="1758AAF3" w14:textId="278C88F4" w:rsidR="006673C6" w:rsidRPr="0086097F" w:rsidRDefault="00D33D01" w:rsidP="00551B8C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14:paraId="151BBAF8" w14:textId="77777777" w:rsidR="006673C6" w:rsidRPr="0086097F" w:rsidRDefault="006673C6" w:rsidP="00551B8C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</w:p>
          <w:p w14:paraId="4086AB5C" w14:textId="6B4170F7" w:rsidR="00195412" w:rsidRPr="0086097F" w:rsidRDefault="00195412" w:rsidP="0055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</w:p>
        </w:tc>
      </w:tr>
      <w:tr w:rsidR="0000399F" w14:paraId="1591DE1E" w14:textId="77777777" w:rsidTr="00784829">
        <w:trPr>
          <w:trHeight w:val="552"/>
        </w:trPr>
        <w:tc>
          <w:tcPr>
            <w:tcW w:w="6184" w:type="dxa"/>
            <w:gridSpan w:val="2"/>
            <w:vMerge w:val="restart"/>
            <w:shd w:val="clear" w:color="auto" w:fill="C2D69B" w:themeFill="accent3" w:themeFillTint="99"/>
          </w:tcPr>
          <w:p w14:paraId="13C8EC51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57F8">
              <w:rPr>
                <w:rFonts w:asciiTheme="majorBidi" w:hAnsiTheme="majorBidi" w:cstheme="majorBidi"/>
                <w:b/>
                <w:sz w:val="24"/>
                <w:szCs w:val="24"/>
              </w:rPr>
              <w:t>Critères d’analyse</w:t>
            </w:r>
          </w:p>
        </w:tc>
        <w:tc>
          <w:tcPr>
            <w:tcW w:w="5151" w:type="dxa"/>
            <w:gridSpan w:val="4"/>
            <w:shd w:val="clear" w:color="auto" w:fill="FABF8F" w:themeFill="accent6" w:themeFillTint="99"/>
          </w:tcPr>
          <w:p w14:paraId="1E1E9048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57F8">
              <w:rPr>
                <w:rFonts w:asciiTheme="majorBidi" w:hAnsiTheme="majorBidi" w:cstheme="majorBidi"/>
                <w:b/>
                <w:sz w:val="24"/>
                <w:szCs w:val="24"/>
              </w:rPr>
              <w:t>Evaluation</w:t>
            </w:r>
          </w:p>
        </w:tc>
      </w:tr>
      <w:tr w:rsidR="0000399F" w14:paraId="31F1E5A2" w14:textId="77777777" w:rsidTr="00784829">
        <w:trPr>
          <w:trHeight w:val="552"/>
        </w:trPr>
        <w:tc>
          <w:tcPr>
            <w:tcW w:w="6184" w:type="dxa"/>
            <w:gridSpan w:val="2"/>
            <w:vMerge/>
            <w:shd w:val="clear" w:color="auto" w:fill="C2D69B" w:themeFill="accent3" w:themeFillTint="99"/>
          </w:tcPr>
          <w:p w14:paraId="1802F513" w14:textId="77777777" w:rsidR="0000399F" w:rsidRPr="002657F8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00CC99"/>
          </w:tcPr>
          <w:p w14:paraId="14C7BC60" w14:textId="55535106" w:rsidR="0000399F" w:rsidRPr="006134F6" w:rsidRDefault="009649E0" w:rsidP="00551B8C">
            <w:pPr>
              <w:spacing w:line="276" w:lineRule="auto"/>
              <w:jc w:val="center"/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  <w:r w:rsidRPr="006134F6">
              <w:rPr>
                <w:rFonts w:asciiTheme="majorBidi" w:eastAsia="Calibri" w:hAnsiTheme="majorBidi" w:cstheme="majorBidi"/>
                <w:b/>
                <w:color w:val="002060"/>
                <w:sz w:val="24"/>
                <w:szCs w:val="24"/>
              </w:rPr>
              <w:t>A</w:t>
            </w:r>
          </w:p>
        </w:tc>
        <w:tc>
          <w:tcPr>
            <w:tcW w:w="1134" w:type="dxa"/>
            <w:shd w:val="clear" w:color="auto" w:fill="00CC99"/>
          </w:tcPr>
          <w:p w14:paraId="0657CB67" w14:textId="29B52AA5" w:rsidR="0000399F" w:rsidRPr="006134F6" w:rsidRDefault="009649E0" w:rsidP="00551B8C">
            <w:pPr>
              <w:shd w:val="clear" w:color="auto" w:fill="92CDDC" w:themeFill="accent5" w:themeFillTint="99"/>
              <w:spacing w:line="276" w:lineRule="auto"/>
              <w:jc w:val="center"/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  <w:r w:rsidRPr="006134F6">
              <w:rPr>
                <w:rFonts w:asciiTheme="majorBidi" w:eastAsia="Calibri" w:hAnsiTheme="majorBidi" w:cstheme="majorBidi"/>
                <w:b/>
                <w:color w:val="002060"/>
                <w:sz w:val="24"/>
                <w:szCs w:val="24"/>
              </w:rPr>
              <w:t>B</w:t>
            </w:r>
          </w:p>
        </w:tc>
        <w:tc>
          <w:tcPr>
            <w:tcW w:w="1134" w:type="dxa"/>
            <w:shd w:val="clear" w:color="auto" w:fill="00CC99"/>
          </w:tcPr>
          <w:p w14:paraId="61D3A4C7" w14:textId="7AC95717" w:rsidR="0000399F" w:rsidRPr="006134F6" w:rsidRDefault="009649E0" w:rsidP="00551B8C">
            <w:pPr>
              <w:spacing w:line="276" w:lineRule="auto"/>
              <w:jc w:val="center"/>
              <w:rPr>
                <w:color w:val="17365D" w:themeColor="text2" w:themeShade="BF"/>
                <w:sz w:val="24"/>
                <w:szCs w:val="24"/>
              </w:rPr>
            </w:pPr>
            <w:r w:rsidRPr="006134F6">
              <w:rPr>
                <w:rFonts w:asciiTheme="majorBidi" w:eastAsia="Calibri" w:hAnsiTheme="majorBidi" w:cstheme="majorBidi"/>
                <w:b/>
                <w:color w:val="002060"/>
                <w:sz w:val="24"/>
                <w:szCs w:val="24"/>
              </w:rPr>
              <w:t>C</w:t>
            </w:r>
          </w:p>
        </w:tc>
        <w:tc>
          <w:tcPr>
            <w:tcW w:w="1749" w:type="dxa"/>
            <w:shd w:val="clear" w:color="auto" w:fill="00CC99"/>
          </w:tcPr>
          <w:p w14:paraId="3AC1A55E" w14:textId="33EB0225" w:rsidR="0000399F" w:rsidRPr="006134F6" w:rsidRDefault="009649E0" w:rsidP="00551B8C">
            <w:pPr>
              <w:spacing w:line="276" w:lineRule="auto"/>
              <w:jc w:val="center"/>
              <w:rPr>
                <w:color w:val="17365D" w:themeColor="text2" w:themeShade="BF"/>
                <w:sz w:val="24"/>
                <w:szCs w:val="24"/>
              </w:rPr>
            </w:pPr>
            <w:r w:rsidRPr="006134F6">
              <w:rPr>
                <w:rFonts w:eastAsia="Calibri"/>
                <w:b/>
                <w:color w:val="002060"/>
                <w:sz w:val="24"/>
                <w:szCs w:val="24"/>
              </w:rPr>
              <w:t>D</w:t>
            </w:r>
          </w:p>
        </w:tc>
      </w:tr>
      <w:tr w:rsidR="0000399F" w14:paraId="2E7642E0" w14:textId="77777777" w:rsidTr="00784829">
        <w:trPr>
          <w:trHeight w:val="260"/>
        </w:trPr>
        <w:tc>
          <w:tcPr>
            <w:tcW w:w="2557" w:type="dxa"/>
            <w:vMerge w:val="restart"/>
          </w:tcPr>
          <w:p w14:paraId="28035391" w14:textId="77777777" w:rsidR="0000399F" w:rsidRDefault="0000399F" w:rsidP="0055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Aspect Organisationnel</w:t>
            </w:r>
          </w:p>
          <w:p w14:paraId="22A9A1BE" w14:textId="77777777" w:rsidR="0000399F" w:rsidRDefault="0000399F" w:rsidP="00551B8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0AEB51D" w14:textId="77777777" w:rsidR="0000399F" w:rsidRPr="000B5192" w:rsidRDefault="0000399F" w:rsidP="00551B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Plan général du cours</w:t>
            </w:r>
          </w:p>
        </w:tc>
        <w:tc>
          <w:tcPr>
            <w:tcW w:w="1134" w:type="dxa"/>
          </w:tcPr>
          <w:p w14:paraId="2966F121" w14:textId="49D9EC7F" w:rsidR="0000399F" w:rsidRPr="008E0812" w:rsidRDefault="008E0812" w:rsidP="00551B8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</w:tcPr>
          <w:p w14:paraId="6D3D3F6D" w14:textId="77777777" w:rsidR="0000399F" w:rsidRPr="002657F8" w:rsidRDefault="0000399F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B71A87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</w:tcPr>
          <w:p w14:paraId="48819678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</w:tr>
      <w:tr w:rsidR="0000399F" w14:paraId="5F5EDE60" w14:textId="77777777" w:rsidTr="00784829">
        <w:trPr>
          <w:trHeight w:val="152"/>
        </w:trPr>
        <w:tc>
          <w:tcPr>
            <w:tcW w:w="2557" w:type="dxa"/>
            <w:vMerge/>
          </w:tcPr>
          <w:p w14:paraId="09F05795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45C9830" w14:textId="77777777" w:rsidR="0000399F" w:rsidRPr="000B5192" w:rsidRDefault="0000399F" w:rsidP="00551B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Clarté de la présentation</w:t>
            </w:r>
          </w:p>
        </w:tc>
        <w:tc>
          <w:tcPr>
            <w:tcW w:w="1134" w:type="dxa"/>
          </w:tcPr>
          <w:p w14:paraId="4F4757F5" w14:textId="65D4A531" w:rsidR="0000399F" w:rsidRPr="002657F8" w:rsidRDefault="008E0812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</w:tcPr>
          <w:p w14:paraId="7F0628C4" w14:textId="77777777" w:rsidR="0000399F" w:rsidRPr="002657F8" w:rsidRDefault="0000399F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56F472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</w:tcPr>
          <w:p w14:paraId="64EC7C06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</w:tr>
      <w:tr w:rsidR="0000399F" w14:paraId="132FD2DA" w14:textId="77777777" w:rsidTr="00784829">
        <w:trPr>
          <w:trHeight w:val="224"/>
        </w:trPr>
        <w:tc>
          <w:tcPr>
            <w:tcW w:w="2557" w:type="dxa"/>
            <w:vMerge/>
          </w:tcPr>
          <w:p w14:paraId="5585EDCD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0E00C504" w14:textId="77777777" w:rsidR="0000399F" w:rsidRPr="000B5192" w:rsidRDefault="0000399F" w:rsidP="00551B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Présentation de la carte mentale</w:t>
            </w:r>
          </w:p>
        </w:tc>
        <w:tc>
          <w:tcPr>
            <w:tcW w:w="1134" w:type="dxa"/>
          </w:tcPr>
          <w:p w14:paraId="4E92E160" w14:textId="29D24003" w:rsidR="0000399F" w:rsidRPr="002657F8" w:rsidRDefault="008E0812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</w:tcPr>
          <w:p w14:paraId="73DCFF2E" w14:textId="77777777" w:rsidR="0000399F" w:rsidRPr="002657F8" w:rsidRDefault="0000399F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3689B7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</w:tcPr>
          <w:p w14:paraId="474DEAA7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</w:tr>
      <w:tr w:rsidR="0000399F" w14:paraId="2B14A494" w14:textId="77777777" w:rsidTr="00784829">
        <w:trPr>
          <w:trHeight w:val="224"/>
        </w:trPr>
        <w:tc>
          <w:tcPr>
            <w:tcW w:w="2557" w:type="dxa"/>
            <w:vMerge/>
          </w:tcPr>
          <w:p w14:paraId="2CB8B051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4450D2F7" w14:textId="77777777" w:rsidR="0000399F" w:rsidRPr="000B5192" w:rsidRDefault="0000399F" w:rsidP="00551B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Détermination du public ciblé</w:t>
            </w:r>
          </w:p>
        </w:tc>
        <w:tc>
          <w:tcPr>
            <w:tcW w:w="1134" w:type="dxa"/>
          </w:tcPr>
          <w:p w14:paraId="6BBA28C4" w14:textId="01EE8C8F" w:rsidR="0000399F" w:rsidRPr="002657F8" w:rsidRDefault="008E0812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</w:tcPr>
          <w:p w14:paraId="5FBADBA4" w14:textId="77777777" w:rsidR="0000399F" w:rsidRPr="002657F8" w:rsidRDefault="0000399F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8906E9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</w:tcPr>
          <w:p w14:paraId="09DAD471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</w:tr>
      <w:tr w:rsidR="0000399F" w14:paraId="68FF581E" w14:textId="77777777" w:rsidTr="00784829">
        <w:trPr>
          <w:trHeight w:val="342"/>
        </w:trPr>
        <w:tc>
          <w:tcPr>
            <w:tcW w:w="2557" w:type="dxa"/>
            <w:vMerge w:val="restart"/>
          </w:tcPr>
          <w:p w14:paraId="51FA9E14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68F36B7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F32CEF8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B3AB452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624786C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02C776A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04EDEF7C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37091095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71CE083B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081EB30D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BE57AA">
              <w:rPr>
                <w:rFonts w:asciiTheme="majorBidi" w:hAnsiTheme="majorBidi" w:cstheme="majorBidi"/>
                <w:b/>
                <w:sz w:val="24"/>
                <w:szCs w:val="24"/>
              </w:rPr>
              <w:t>Système d'entrée</w:t>
            </w:r>
          </w:p>
        </w:tc>
        <w:tc>
          <w:tcPr>
            <w:tcW w:w="3627" w:type="dxa"/>
            <w:shd w:val="clear" w:color="auto" w:fill="FFC6C6"/>
          </w:tcPr>
          <w:p w14:paraId="1CC7B7B1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Division du cours en unités d’apprentissage</w:t>
            </w:r>
          </w:p>
        </w:tc>
        <w:tc>
          <w:tcPr>
            <w:tcW w:w="1134" w:type="dxa"/>
            <w:vAlign w:val="center"/>
          </w:tcPr>
          <w:p w14:paraId="34DEBD18" w14:textId="3792F8C8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6009199C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82851F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1DDE01F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0394B55" w14:textId="77777777" w:rsidTr="00784829">
        <w:trPr>
          <w:trHeight w:val="342"/>
        </w:trPr>
        <w:tc>
          <w:tcPr>
            <w:tcW w:w="2557" w:type="dxa"/>
            <w:vMerge/>
          </w:tcPr>
          <w:p w14:paraId="26E477DA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25D6B0D3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CD05AC">
              <w:rPr>
                <w:rFonts w:asciiTheme="majorBidi" w:hAnsiTheme="majorBidi" w:cstheme="majorBidi"/>
                <w:sz w:val="24"/>
                <w:szCs w:val="24"/>
              </w:rPr>
              <w:t>Structuration basée sur la carte mentale fournie</w:t>
            </w:r>
          </w:p>
        </w:tc>
        <w:tc>
          <w:tcPr>
            <w:tcW w:w="1134" w:type="dxa"/>
            <w:vAlign w:val="center"/>
          </w:tcPr>
          <w:p w14:paraId="384A6532" w14:textId="1C5ED84B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19190123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F4D6A9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07FFED2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DE45E57" w14:textId="77777777" w:rsidTr="00784829">
        <w:trPr>
          <w:trHeight w:val="342"/>
        </w:trPr>
        <w:tc>
          <w:tcPr>
            <w:tcW w:w="2557" w:type="dxa"/>
            <w:vMerge/>
          </w:tcPr>
          <w:p w14:paraId="310BB9C5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29E295C2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CD05AC">
              <w:rPr>
                <w:rFonts w:asciiTheme="majorBidi" w:hAnsiTheme="majorBidi" w:cstheme="majorBidi"/>
                <w:sz w:val="24"/>
                <w:szCs w:val="24"/>
              </w:rPr>
              <w:t>Clarté des objectifs</w:t>
            </w:r>
          </w:p>
        </w:tc>
        <w:tc>
          <w:tcPr>
            <w:tcW w:w="1134" w:type="dxa"/>
            <w:vAlign w:val="center"/>
          </w:tcPr>
          <w:p w14:paraId="7497F782" w14:textId="7D9C723C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04FF33BC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D70705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6D937B0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3903105D" w14:textId="77777777" w:rsidTr="00784829">
        <w:trPr>
          <w:trHeight w:val="342"/>
        </w:trPr>
        <w:tc>
          <w:tcPr>
            <w:tcW w:w="2557" w:type="dxa"/>
            <w:vMerge/>
          </w:tcPr>
          <w:p w14:paraId="4D04077F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2EA06F73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Précision des objectifs</w:t>
            </w:r>
          </w:p>
        </w:tc>
        <w:tc>
          <w:tcPr>
            <w:tcW w:w="1134" w:type="dxa"/>
            <w:vAlign w:val="center"/>
          </w:tcPr>
          <w:p w14:paraId="5BE06039" w14:textId="75D76274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49D8558E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B57032E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4219FF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91038A6" w14:textId="77777777" w:rsidTr="00784829">
        <w:tc>
          <w:tcPr>
            <w:tcW w:w="2557" w:type="dxa"/>
            <w:vMerge/>
          </w:tcPr>
          <w:p w14:paraId="459791C2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62BF8E60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Motivation de l'apprenant à suivre le cours (fonction d’apprentissage)</w:t>
            </w:r>
          </w:p>
        </w:tc>
        <w:tc>
          <w:tcPr>
            <w:tcW w:w="1134" w:type="dxa"/>
            <w:vAlign w:val="center"/>
          </w:tcPr>
          <w:p w14:paraId="69C5DCFA" w14:textId="0A38DDFB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66BB566F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BEFC49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8553CF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9624B8B" w14:textId="77777777" w:rsidTr="00784829">
        <w:tc>
          <w:tcPr>
            <w:tcW w:w="2557" w:type="dxa"/>
            <w:vMerge/>
          </w:tcPr>
          <w:p w14:paraId="7E5A3A9A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6687215A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Orientation de l’apprenant à suivre ou non le cours (fonction d’orientation)</w:t>
            </w:r>
          </w:p>
        </w:tc>
        <w:tc>
          <w:tcPr>
            <w:tcW w:w="1134" w:type="dxa"/>
            <w:vAlign w:val="center"/>
          </w:tcPr>
          <w:p w14:paraId="691759D3" w14:textId="42A8A4C0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3FDDF594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123074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7DA364E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4DEEFF6" w14:textId="77777777" w:rsidTr="00784829">
        <w:tc>
          <w:tcPr>
            <w:tcW w:w="2557" w:type="dxa"/>
            <w:vMerge/>
          </w:tcPr>
          <w:p w14:paraId="1AF8DB0E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57F86D78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Utilisation des verbes d’action</w:t>
            </w:r>
          </w:p>
        </w:tc>
        <w:tc>
          <w:tcPr>
            <w:tcW w:w="1134" w:type="dxa"/>
            <w:vAlign w:val="center"/>
          </w:tcPr>
          <w:p w14:paraId="708C7613" w14:textId="5AC526ED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579A9CCE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17E65D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4917107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C87FCC1" w14:textId="77777777" w:rsidTr="00784829">
        <w:tc>
          <w:tcPr>
            <w:tcW w:w="2557" w:type="dxa"/>
            <w:vMerge/>
          </w:tcPr>
          <w:p w14:paraId="47A85E39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213390D8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Hiérarchie du général au particulier</w:t>
            </w:r>
          </w:p>
        </w:tc>
        <w:tc>
          <w:tcPr>
            <w:tcW w:w="1134" w:type="dxa"/>
            <w:vAlign w:val="center"/>
          </w:tcPr>
          <w:p w14:paraId="524863AB" w14:textId="58732F62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3E246F9D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6DAA15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5C6D69F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3A92287" w14:textId="77777777" w:rsidTr="00784829">
        <w:tc>
          <w:tcPr>
            <w:tcW w:w="2557" w:type="dxa"/>
            <w:vMerge/>
          </w:tcPr>
          <w:p w14:paraId="37F85CE5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4E107C81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Les objectifs ciblent des savoirs/ savoir-faire / savoir être</w:t>
            </w:r>
          </w:p>
        </w:tc>
        <w:tc>
          <w:tcPr>
            <w:tcW w:w="1134" w:type="dxa"/>
            <w:vAlign w:val="center"/>
          </w:tcPr>
          <w:p w14:paraId="69854D5B" w14:textId="55EDA1E9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39F59CDC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E8F86F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033A039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A342BFE" w14:textId="77777777" w:rsidTr="00784829">
        <w:tc>
          <w:tcPr>
            <w:tcW w:w="2557" w:type="dxa"/>
            <w:vMerge/>
          </w:tcPr>
          <w:p w14:paraId="6A9E9159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603B0149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La mesure de l’aptitude quant à la maîtrise des objectifs du cours (pré-test)</w:t>
            </w:r>
          </w:p>
        </w:tc>
        <w:tc>
          <w:tcPr>
            <w:tcW w:w="1134" w:type="dxa"/>
            <w:vAlign w:val="center"/>
          </w:tcPr>
          <w:p w14:paraId="52AD3452" w14:textId="18694349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59BD0FB8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sdt>
            <w:sdtPr>
              <w:tag w:val="goog_rdk_5"/>
              <w:id w:val="-1591695209"/>
            </w:sdtPr>
            <w:sdtContent>
              <w:p w14:paraId="4510EF31" w14:textId="77777777" w:rsidR="0000399F" w:rsidRDefault="00000000" w:rsidP="00551B8C">
                <w:pPr>
                  <w:spacing w:line="276" w:lineRule="auto"/>
                  <w:jc w:val="center"/>
                  <w:rPr>
                    <w:ins w:id="0" w:author="Dr. Djamel Eddine Silini" w:date="2022-07-06T08:09:00Z"/>
                    <w:sz w:val="24"/>
                    <w:szCs w:val="24"/>
                  </w:rPr>
                </w:pPr>
                <w:sdt>
                  <w:sdtPr>
                    <w:tag w:val="goog_rdk_4"/>
                    <w:id w:val="1854524457"/>
                  </w:sdtPr>
                  <w:sdtContent/>
                </w:sdt>
              </w:p>
            </w:sdtContent>
          </w:sdt>
          <w:p w14:paraId="35B5137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EB8FFA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B63DF0A" w14:textId="77777777" w:rsidTr="00784829">
        <w:tc>
          <w:tcPr>
            <w:tcW w:w="2557" w:type="dxa"/>
            <w:vMerge/>
          </w:tcPr>
          <w:p w14:paraId="5E887B06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34E48785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Clarté des prérequis</w:t>
            </w:r>
          </w:p>
        </w:tc>
        <w:tc>
          <w:tcPr>
            <w:tcW w:w="1134" w:type="dxa"/>
            <w:vAlign w:val="center"/>
          </w:tcPr>
          <w:p w14:paraId="3E2FDA33" w14:textId="1947009E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4CD2AB0C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8F8C10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0A110E7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7092C07" w14:textId="77777777" w:rsidTr="00784829">
        <w:tc>
          <w:tcPr>
            <w:tcW w:w="2557" w:type="dxa"/>
            <w:vMerge/>
          </w:tcPr>
          <w:p w14:paraId="5170623E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5F75B5AB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Précision des Prérequis</w:t>
            </w:r>
          </w:p>
        </w:tc>
        <w:tc>
          <w:tcPr>
            <w:tcW w:w="1134" w:type="dxa"/>
            <w:vAlign w:val="center"/>
          </w:tcPr>
          <w:p w14:paraId="41C75676" w14:textId="53EF709C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174CB194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44543E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04A8CD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52737B4" w14:textId="77777777" w:rsidTr="00784829">
        <w:tc>
          <w:tcPr>
            <w:tcW w:w="2557" w:type="dxa"/>
            <w:vMerge/>
          </w:tcPr>
          <w:p w14:paraId="65EAFD47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03038CD9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 nombre des objectifs dépasse le nombre des prérequis proposés</w:t>
            </w:r>
          </w:p>
        </w:tc>
        <w:tc>
          <w:tcPr>
            <w:tcW w:w="1134" w:type="dxa"/>
            <w:vAlign w:val="center"/>
          </w:tcPr>
          <w:p w14:paraId="3A3F2491" w14:textId="23BFE7E4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236AB050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EFAAB2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0185CD7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00710D5" w14:textId="77777777" w:rsidTr="00784829">
        <w:tc>
          <w:tcPr>
            <w:tcW w:w="2557" w:type="dxa"/>
            <w:vMerge/>
          </w:tcPr>
          <w:p w14:paraId="4C90AB17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65006741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Adéquation de pré-test dans la motivation de l’apprenant</w:t>
            </w:r>
          </w:p>
        </w:tc>
        <w:tc>
          <w:tcPr>
            <w:tcW w:w="1134" w:type="dxa"/>
            <w:vAlign w:val="center"/>
          </w:tcPr>
          <w:p w14:paraId="5B8617A8" w14:textId="142FD9CB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42466937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3F2D0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6CAE913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DFDAC3E" w14:textId="77777777" w:rsidTr="00784829">
        <w:tc>
          <w:tcPr>
            <w:tcW w:w="2557" w:type="dxa"/>
            <w:vMerge/>
          </w:tcPr>
          <w:p w14:paraId="2A1D6112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4421B107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 test d'entrée englobe toutes les connaissances nécessaires à l’apprenant pour le suivi du cours</w:t>
            </w:r>
          </w:p>
        </w:tc>
        <w:tc>
          <w:tcPr>
            <w:tcW w:w="1134" w:type="dxa"/>
            <w:vAlign w:val="center"/>
          </w:tcPr>
          <w:p w14:paraId="5B913794" w14:textId="0AC2EA8F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6D0E0107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D4A68B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3A9F57F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FC1E25F" w14:textId="77777777" w:rsidTr="00784829">
        <w:tc>
          <w:tcPr>
            <w:tcW w:w="2557" w:type="dxa"/>
            <w:vMerge/>
          </w:tcPr>
          <w:p w14:paraId="57C58B62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508105AB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 passage du système d'entrée vers le système d'apprentissage est conditionné par la maîtrise des prérequis.</w:t>
            </w:r>
          </w:p>
        </w:tc>
        <w:tc>
          <w:tcPr>
            <w:tcW w:w="1134" w:type="dxa"/>
            <w:vAlign w:val="center"/>
          </w:tcPr>
          <w:p w14:paraId="00C34D83" w14:textId="72AD310F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5F814CA4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E66164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D7294C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25CFA6AC" w14:textId="77777777" w:rsidTr="00784829">
        <w:tc>
          <w:tcPr>
            <w:tcW w:w="2557" w:type="dxa"/>
            <w:vMerge w:val="restart"/>
            <w:tcBorders>
              <w:top w:val="nil"/>
            </w:tcBorders>
          </w:tcPr>
          <w:p w14:paraId="6C160EB5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53F1870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0993CB6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1BAB231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4252AB6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7885D309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40FDEF2A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68CCF180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1959B42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21606720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0A610A40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47D2E1A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0027006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73468518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736CCD39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3009F45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08EEEE4B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E57AA">
              <w:rPr>
                <w:rFonts w:asciiTheme="majorBidi" w:hAnsiTheme="majorBidi" w:cstheme="majorBidi"/>
                <w:b/>
                <w:sz w:val="24"/>
                <w:szCs w:val="24"/>
              </w:rPr>
              <w:t>Système d'apprentissage</w:t>
            </w:r>
          </w:p>
        </w:tc>
        <w:tc>
          <w:tcPr>
            <w:tcW w:w="3627" w:type="dxa"/>
            <w:shd w:val="clear" w:color="auto" w:fill="92CDDC" w:themeFill="accent5" w:themeFillTint="99"/>
          </w:tcPr>
          <w:p w14:paraId="51387A6D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Division du contenu du cours en différentes unités d’apprentissage</w:t>
            </w:r>
          </w:p>
        </w:tc>
        <w:tc>
          <w:tcPr>
            <w:tcW w:w="1134" w:type="dxa"/>
            <w:vAlign w:val="center"/>
          </w:tcPr>
          <w:p w14:paraId="7EBD96DD" w14:textId="794006BB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4A51925F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6692A8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B91DCC7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3DFF16E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2A39C903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05E1383B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Utilisation d’une carte conceptuelle pour présenter les unités d’apprentissage</w:t>
            </w:r>
          </w:p>
        </w:tc>
        <w:tc>
          <w:tcPr>
            <w:tcW w:w="1134" w:type="dxa"/>
            <w:vAlign w:val="center"/>
          </w:tcPr>
          <w:p w14:paraId="2C36F57E" w14:textId="284F1E8F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5374B63E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F804FB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387E6470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AB920B6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213DF383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0B3A74E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Diversité des activités d’apprentissage et leur adaptation à chaque unité d’apprentissage</w:t>
            </w:r>
          </w:p>
        </w:tc>
        <w:tc>
          <w:tcPr>
            <w:tcW w:w="1134" w:type="dxa"/>
            <w:vAlign w:val="center"/>
          </w:tcPr>
          <w:p w14:paraId="67263672" w14:textId="7E5419B4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4003AED2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8568E58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5B9FC0E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FED0073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4B28AD13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72848C43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Argumentation du cours par des différentes ressources pédagogiques : vidéos, images, </w:t>
            </w:r>
            <w:proofErr w:type="spellStart"/>
            <w:r w:rsidRPr="000B5192">
              <w:rPr>
                <w:rFonts w:asciiTheme="majorBidi" w:hAnsiTheme="majorBidi" w:cstheme="majorBidi"/>
                <w:sz w:val="24"/>
                <w:szCs w:val="24"/>
              </w:rPr>
              <w:t>pdf</w:t>
            </w:r>
            <w:proofErr w:type="spellEnd"/>
            <w:r w:rsidRPr="000B5192">
              <w:rPr>
                <w:rFonts w:asciiTheme="majorBidi" w:hAnsiTheme="majorBidi" w:cstheme="majorBidi"/>
                <w:sz w:val="24"/>
                <w:szCs w:val="24"/>
              </w:rPr>
              <w:t>, tableaux, équations…</w:t>
            </w:r>
          </w:p>
        </w:tc>
        <w:tc>
          <w:tcPr>
            <w:tcW w:w="1134" w:type="dxa"/>
            <w:vAlign w:val="center"/>
          </w:tcPr>
          <w:p w14:paraId="6205E8CA" w14:textId="7B6B12B6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17C0705E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CA3779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3630244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2E0413E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7237263F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48C3436F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Progression logique des apprentissages   </w:t>
            </w:r>
          </w:p>
        </w:tc>
        <w:tc>
          <w:tcPr>
            <w:tcW w:w="1134" w:type="dxa"/>
            <w:vAlign w:val="center"/>
          </w:tcPr>
          <w:p w14:paraId="05FEDF9B" w14:textId="55B9C7ED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1DD4EE77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CCD04B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303A2D1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EEF8685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3033AD5C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498E60FD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Caractère réaliste du contenu en fonction du temps alloué   </w:t>
            </w:r>
          </w:p>
        </w:tc>
        <w:tc>
          <w:tcPr>
            <w:tcW w:w="1134" w:type="dxa"/>
            <w:vAlign w:val="center"/>
          </w:tcPr>
          <w:p w14:paraId="762B9715" w14:textId="5337BA05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01500448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C0F72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06D75BF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F39A21D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16085EDB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A2BB66C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Indications claires quant au calendrier de présentation   </w:t>
            </w:r>
          </w:p>
        </w:tc>
        <w:tc>
          <w:tcPr>
            <w:tcW w:w="1134" w:type="dxa"/>
            <w:vAlign w:val="center"/>
          </w:tcPr>
          <w:p w14:paraId="5A023648" w14:textId="1BE83360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21E95B53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061399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CEB702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27B7B0B8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110D23C1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40216846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Qualité de la langue utilisée pour le cours   </w:t>
            </w:r>
          </w:p>
        </w:tc>
        <w:tc>
          <w:tcPr>
            <w:tcW w:w="1134" w:type="dxa"/>
            <w:vAlign w:val="center"/>
          </w:tcPr>
          <w:p w14:paraId="5CAA1201" w14:textId="3607B062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0381A2A2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F48D468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48094C0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937AE2A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4D035171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13584AA6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Choix approprié des méthodes en fonction des cibles d'apprentissage   </w:t>
            </w:r>
          </w:p>
        </w:tc>
        <w:tc>
          <w:tcPr>
            <w:tcW w:w="1134" w:type="dxa"/>
            <w:vAlign w:val="center"/>
          </w:tcPr>
          <w:p w14:paraId="3D3479AD" w14:textId="60067684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212CC49B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D7F3138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390130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782B5D4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1821764C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6C410CF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Prépondérance accordée aux activités d'apprentissage (plutôt que d'enseignement)  </w:t>
            </w:r>
          </w:p>
        </w:tc>
        <w:tc>
          <w:tcPr>
            <w:tcW w:w="1134" w:type="dxa"/>
            <w:vAlign w:val="center"/>
          </w:tcPr>
          <w:p w14:paraId="3AC5AED0" w14:textId="72FD9AC3" w:rsidR="0000399F" w:rsidRPr="002657F8" w:rsidRDefault="008E0812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4CD044B1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CE8200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0228630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296720F0" w14:textId="77777777" w:rsidTr="00784829">
        <w:trPr>
          <w:trHeight w:val="518"/>
        </w:trPr>
        <w:tc>
          <w:tcPr>
            <w:tcW w:w="2557" w:type="dxa"/>
            <w:vMerge/>
            <w:tcBorders>
              <w:top w:val="nil"/>
            </w:tcBorders>
          </w:tcPr>
          <w:p w14:paraId="1C86706B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C9369A6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Répartition claire du temps alloué aux diverses méthodes  </w:t>
            </w:r>
          </w:p>
        </w:tc>
        <w:tc>
          <w:tcPr>
            <w:tcW w:w="1134" w:type="dxa"/>
            <w:vAlign w:val="center"/>
          </w:tcPr>
          <w:p w14:paraId="6E48E8A8" w14:textId="062731DD" w:rsidR="0000399F" w:rsidRDefault="008E0812" w:rsidP="008E0812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7E126FD6" w14:textId="77777777" w:rsidR="0000399F" w:rsidRDefault="0000399F" w:rsidP="00551B8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45959DB" w14:textId="77777777" w:rsidR="0000399F" w:rsidRDefault="0000399F" w:rsidP="00551B8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12D8FCCE" w14:textId="77777777" w:rsidR="0000399F" w:rsidRDefault="0000399F" w:rsidP="00551B8C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00399F" w14:paraId="4CE4FE47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74675034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3A7CE3DC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Pertinence des moyens choisis en fonction des cibles d'apprentissage  </w:t>
            </w:r>
          </w:p>
        </w:tc>
        <w:tc>
          <w:tcPr>
            <w:tcW w:w="1134" w:type="dxa"/>
            <w:vAlign w:val="center"/>
          </w:tcPr>
          <w:p w14:paraId="643E4A42" w14:textId="28B0AB0D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44B3AFE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C70EAC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52EC4377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23AFAE1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07FBBFAA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FF49660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Précision de la pondération allouée à chaque activité d'évaluation   </w:t>
            </w:r>
          </w:p>
        </w:tc>
        <w:tc>
          <w:tcPr>
            <w:tcW w:w="1134" w:type="dxa"/>
            <w:vAlign w:val="center"/>
          </w:tcPr>
          <w:p w14:paraId="4539D4DD" w14:textId="1C9EDB4E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56A8030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6889D67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420B2FF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5E3CF36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6BB76AC5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7687EA05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Répartition appropriée de la charge de travail pour la session   </w:t>
            </w:r>
          </w:p>
        </w:tc>
        <w:tc>
          <w:tcPr>
            <w:tcW w:w="1134" w:type="dxa"/>
            <w:vAlign w:val="center"/>
          </w:tcPr>
          <w:p w14:paraId="5729B5BB" w14:textId="1550010D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762DA0C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7D9D9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113F67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A9EEA40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5F910E20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AD7D4B7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Respect du Règlement pédagogique :</w:t>
            </w:r>
          </w:p>
          <w:p w14:paraId="25084A52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• utilisation de plus d'une activité d'évaluation des apprentissages   </w:t>
            </w:r>
          </w:p>
          <w:p w14:paraId="4A17FD76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• utilisation d'une évaluation individuelle   </w:t>
            </w:r>
          </w:p>
        </w:tc>
        <w:tc>
          <w:tcPr>
            <w:tcW w:w="1134" w:type="dxa"/>
            <w:vAlign w:val="center"/>
          </w:tcPr>
          <w:p w14:paraId="15637142" w14:textId="39450EAA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22FCBF3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53FF9A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1258FAE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8709A03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3D8D9422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7B78B1FE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Disponibilité des informations utiles pour les apprenants afin de contacter leurs pairs (trombinoscope)</w:t>
            </w:r>
          </w:p>
        </w:tc>
        <w:tc>
          <w:tcPr>
            <w:tcW w:w="1134" w:type="dxa"/>
            <w:vAlign w:val="center"/>
          </w:tcPr>
          <w:p w14:paraId="60514EB7" w14:textId="2950596A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2A459C9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B9646F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5F2C7AD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20FA27E" w14:textId="77777777" w:rsidTr="00784829">
        <w:trPr>
          <w:trHeight w:val="568"/>
        </w:trPr>
        <w:tc>
          <w:tcPr>
            <w:tcW w:w="2557" w:type="dxa"/>
            <w:vMerge w:val="restart"/>
            <w:tcBorders>
              <w:top w:val="nil"/>
            </w:tcBorders>
          </w:tcPr>
          <w:p w14:paraId="22D1491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1EEF08B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Mise en disposition des espaces de communication synchrone pour les étudiants en dehors des activités</w:t>
            </w:r>
          </w:p>
        </w:tc>
        <w:tc>
          <w:tcPr>
            <w:tcW w:w="1134" w:type="dxa"/>
            <w:vAlign w:val="center"/>
          </w:tcPr>
          <w:p w14:paraId="568EECDF" w14:textId="0A830031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442201D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7ACDB2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6D618A9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584D77C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3CD9A68C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04D71C7C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Prévision d’un outil de communication dédié aux échanges publics entre le tuteur et les apprenants d’une part et entre les apprenants d’autre part</w:t>
            </w:r>
          </w:p>
        </w:tc>
        <w:tc>
          <w:tcPr>
            <w:tcW w:w="1134" w:type="dxa"/>
            <w:vAlign w:val="center"/>
          </w:tcPr>
          <w:p w14:paraId="4B6C696F" w14:textId="5EAB129E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19159D7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D47C04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4A7D43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FADFA11" w14:textId="77777777" w:rsidTr="00784829">
        <w:trPr>
          <w:trHeight w:val="278"/>
        </w:trPr>
        <w:tc>
          <w:tcPr>
            <w:tcW w:w="2557" w:type="dxa"/>
            <w:vMerge/>
            <w:tcBorders>
              <w:top w:val="nil"/>
            </w:tcBorders>
          </w:tcPr>
          <w:p w14:paraId="344B8EFB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1B91257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Diversité des activités proposées</w:t>
            </w:r>
          </w:p>
        </w:tc>
        <w:tc>
          <w:tcPr>
            <w:tcW w:w="1134" w:type="dxa"/>
            <w:vAlign w:val="center"/>
          </w:tcPr>
          <w:p w14:paraId="440187AB" w14:textId="63F627CA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09BE92D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F136B1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570115C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88E6BC2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305F388A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008E238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Degré de la diversité des activités proposées pour atteindre les objectifs de la formation</w:t>
            </w:r>
          </w:p>
        </w:tc>
        <w:tc>
          <w:tcPr>
            <w:tcW w:w="1134" w:type="dxa"/>
            <w:vAlign w:val="center"/>
          </w:tcPr>
          <w:p w14:paraId="7FDB613F" w14:textId="75615BE7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1E2EA51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E80899E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42C74E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02EF6A5" w14:textId="77777777" w:rsidTr="00784829">
        <w:trPr>
          <w:trHeight w:val="690"/>
        </w:trPr>
        <w:tc>
          <w:tcPr>
            <w:tcW w:w="2557" w:type="dxa"/>
            <w:vMerge w:val="restart"/>
          </w:tcPr>
          <w:p w14:paraId="6AC8CC2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44C52AD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F0C8957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EFDCE48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9DF8DC6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04EDB2B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C3ACC60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6BF4ADA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3A76E1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BE57AA">
              <w:rPr>
                <w:rFonts w:asciiTheme="majorBidi" w:hAnsiTheme="majorBidi" w:cstheme="majorBidi"/>
                <w:b/>
                <w:sz w:val="24"/>
                <w:szCs w:val="24"/>
              </w:rPr>
              <w:t>Système de sortie</w:t>
            </w:r>
          </w:p>
        </w:tc>
        <w:tc>
          <w:tcPr>
            <w:tcW w:w="3627" w:type="dxa"/>
            <w:shd w:val="clear" w:color="auto" w:fill="F79646" w:themeFill="accent6"/>
          </w:tcPr>
          <w:p w14:paraId="2936C9C9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Présence d’une évaluation à la fin de chaque unité d’apprentissage</w:t>
            </w:r>
          </w:p>
        </w:tc>
        <w:tc>
          <w:tcPr>
            <w:tcW w:w="1134" w:type="dxa"/>
            <w:vAlign w:val="center"/>
          </w:tcPr>
          <w:p w14:paraId="35E7F9AA" w14:textId="330F9FDC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1F61B9D7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2320B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5AB858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65EBDCC" w14:textId="77777777" w:rsidTr="00784829">
        <w:trPr>
          <w:trHeight w:val="690"/>
        </w:trPr>
        <w:tc>
          <w:tcPr>
            <w:tcW w:w="2557" w:type="dxa"/>
            <w:vMerge/>
          </w:tcPr>
          <w:p w14:paraId="34B8FDEB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37F20261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Clarté de la présentation des critères d’évaluation</w:t>
            </w:r>
          </w:p>
        </w:tc>
        <w:tc>
          <w:tcPr>
            <w:tcW w:w="1134" w:type="dxa"/>
            <w:vAlign w:val="center"/>
          </w:tcPr>
          <w:p w14:paraId="5A520D31" w14:textId="76103091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18D0F55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36174C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6CC90200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F96EF0B" w14:textId="77777777" w:rsidTr="00784829">
        <w:trPr>
          <w:trHeight w:val="690"/>
        </w:trPr>
        <w:tc>
          <w:tcPr>
            <w:tcW w:w="2557" w:type="dxa"/>
            <w:vMerge/>
          </w:tcPr>
          <w:p w14:paraId="2BA4286E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53AFDE66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Moyens de remédiation présentés en cas d’échec à un examen</w:t>
            </w:r>
          </w:p>
        </w:tc>
        <w:tc>
          <w:tcPr>
            <w:tcW w:w="1134" w:type="dxa"/>
            <w:vAlign w:val="center"/>
          </w:tcPr>
          <w:p w14:paraId="1CF3D21D" w14:textId="66242242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50D05AF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43E3A39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424C990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5C05D7A" w14:textId="77777777" w:rsidTr="00784829">
        <w:trPr>
          <w:trHeight w:val="690"/>
        </w:trPr>
        <w:tc>
          <w:tcPr>
            <w:tcW w:w="2557" w:type="dxa"/>
            <w:vMerge/>
          </w:tcPr>
          <w:p w14:paraId="2C5D4281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10CD099C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Mention post-tests</w:t>
            </w:r>
          </w:p>
        </w:tc>
        <w:tc>
          <w:tcPr>
            <w:tcW w:w="1134" w:type="dxa"/>
            <w:vAlign w:val="center"/>
          </w:tcPr>
          <w:p w14:paraId="24F668BC" w14:textId="13433A49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1C1CBD9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5A1A2F8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4F5D38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9AAD9DC" w14:textId="77777777" w:rsidTr="00784829">
        <w:trPr>
          <w:trHeight w:val="690"/>
        </w:trPr>
        <w:tc>
          <w:tcPr>
            <w:tcW w:w="2557" w:type="dxa"/>
            <w:vMerge/>
          </w:tcPr>
          <w:p w14:paraId="0FCEC1CD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09ED9CF5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Orientation vers une autre unité d’apprentissage</w:t>
            </w:r>
          </w:p>
        </w:tc>
        <w:tc>
          <w:tcPr>
            <w:tcW w:w="1134" w:type="dxa"/>
            <w:vAlign w:val="center"/>
          </w:tcPr>
          <w:p w14:paraId="7BAB216A" w14:textId="151FC31C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6F2DEB79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AF667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16FB81A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2BB2A1F" w14:textId="77777777" w:rsidTr="00784829">
        <w:trPr>
          <w:trHeight w:val="690"/>
        </w:trPr>
        <w:tc>
          <w:tcPr>
            <w:tcW w:w="2557" w:type="dxa"/>
            <w:vMerge/>
          </w:tcPr>
          <w:p w14:paraId="3A74AB1B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28D51103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Atteindre les compétences et les objectifs visés</w:t>
            </w:r>
          </w:p>
        </w:tc>
        <w:tc>
          <w:tcPr>
            <w:tcW w:w="1134" w:type="dxa"/>
            <w:vAlign w:val="center"/>
          </w:tcPr>
          <w:p w14:paraId="10FA70A4" w14:textId="3685A44B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72C0012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AF9B44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6886B42E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6D1D926" w14:textId="77777777" w:rsidTr="00784829">
        <w:trPr>
          <w:trHeight w:val="690"/>
        </w:trPr>
        <w:tc>
          <w:tcPr>
            <w:tcW w:w="2557" w:type="dxa"/>
            <w:vMerge w:val="restart"/>
          </w:tcPr>
          <w:p w14:paraId="314B9FD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3D3F8D8A" w14:textId="77777777" w:rsidR="0000399F" w:rsidRDefault="0000399F" w:rsidP="00551B8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4A25B4D5" w14:textId="77777777" w:rsidR="0000399F" w:rsidRDefault="0000399F" w:rsidP="00551B8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23973715" w14:textId="77777777" w:rsidR="0000399F" w:rsidRDefault="0000399F" w:rsidP="00551B8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7B28E316" w14:textId="77777777" w:rsidR="0000399F" w:rsidRDefault="0000399F" w:rsidP="00551B8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6A9CC79D" w14:textId="77777777" w:rsidR="0000399F" w:rsidRDefault="0000399F" w:rsidP="00551B8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1BA2BF5C" w14:textId="77777777" w:rsidR="0000399F" w:rsidRDefault="0000399F" w:rsidP="00551B8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Bibliographie</w:t>
            </w:r>
          </w:p>
        </w:tc>
        <w:tc>
          <w:tcPr>
            <w:tcW w:w="3627" w:type="dxa"/>
            <w:shd w:val="clear" w:color="auto" w:fill="FFFF00"/>
          </w:tcPr>
          <w:p w14:paraId="4D93E06C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Proposition d’une bibliographie</w:t>
            </w:r>
          </w:p>
        </w:tc>
        <w:tc>
          <w:tcPr>
            <w:tcW w:w="1134" w:type="dxa"/>
            <w:vAlign w:val="center"/>
          </w:tcPr>
          <w:p w14:paraId="3D156B52" w14:textId="3FFC95A8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79C30BB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AA47C8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349872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2F58296A" w14:textId="77777777" w:rsidTr="00784829">
        <w:trPr>
          <w:trHeight w:val="690"/>
        </w:trPr>
        <w:tc>
          <w:tcPr>
            <w:tcW w:w="2557" w:type="dxa"/>
            <w:vMerge/>
          </w:tcPr>
          <w:p w14:paraId="4B8470AE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14:paraId="32E38FF0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Nombre suffisant de références</w:t>
            </w:r>
          </w:p>
        </w:tc>
        <w:tc>
          <w:tcPr>
            <w:tcW w:w="1134" w:type="dxa"/>
            <w:vAlign w:val="center"/>
          </w:tcPr>
          <w:p w14:paraId="5F15C406" w14:textId="03C30444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610E1237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3DDA15E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188487B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7837984" w14:textId="77777777" w:rsidTr="00784829">
        <w:trPr>
          <w:trHeight w:val="690"/>
        </w:trPr>
        <w:tc>
          <w:tcPr>
            <w:tcW w:w="2557" w:type="dxa"/>
            <w:vMerge/>
          </w:tcPr>
          <w:p w14:paraId="6439937C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14:paraId="0FDBDCEF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Références bibliographiques d'actualité   </w:t>
            </w:r>
          </w:p>
        </w:tc>
        <w:tc>
          <w:tcPr>
            <w:tcW w:w="1134" w:type="dxa"/>
            <w:vAlign w:val="center"/>
          </w:tcPr>
          <w:p w14:paraId="00B76AFC" w14:textId="6B876969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178FF4D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8B03419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6ACB623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BA6B1DF" w14:textId="77777777" w:rsidTr="00784829">
        <w:trPr>
          <w:trHeight w:val="690"/>
        </w:trPr>
        <w:tc>
          <w:tcPr>
            <w:tcW w:w="2557" w:type="dxa"/>
            <w:vMerge/>
          </w:tcPr>
          <w:p w14:paraId="29D96830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14:paraId="147ECBDD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Respect des normes usuelles de rédaction   </w:t>
            </w:r>
          </w:p>
        </w:tc>
        <w:tc>
          <w:tcPr>
            <w:tcW w:w="1134" w:type="dxa"/>
            <w:vAlign w:val="center"/>
          </w:tcPr>
          <w:p w14:paraId="5F5F8944" w14:textId="44E3D0A3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6F21E77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2B8CFE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070D1336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29F5EB0" w14:textId="77777777" w:rsidTr="00784829">
        <w:trPr>
          <w:trHeight w:val="690"/>
        </w:trPr>
        <w:tc>
          <w:tcPr>
            <w:tcW w:w="2557" w:type="dxa"/>
            <w:vMerge/>
          </w:tcPr>
          <w:p w14:paraId="65028BC5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14:paraId="2DB8F85F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Mention des documents utilisés</w:t>
            </w:r>
          </w:p>
        </w:tc>
        <w:tc>
          <w:tcPr>
            <w:tcW w:w="1134" w:type="dxa"/>
            <w:vAlign w:val="center"/>
          </w:tcPr>
          <w:p w14:paraId="2C1D109B" w14:textId="2A747AD0" w:rsidR="0000399F" w:rsidRDefault="008E0812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8E0812">
              <w:rPr>
                <w:rFonts w:asciiTheme="majorBidi" w:hAnsiTheme="majorBidi" w:cstheme="majorBidi"/>
                <w:sz w:val="32"/>
                <w:szCs w:val="32"/>
              </w:rPr>
              <w:t>x</w:t>
            </w:r>
            <w:proofErr w:type="gramEnd"/>
          </w:p>
        </w:tc>
        <w:tc>
          <w:tcPr>
            <w:tcW w:w="1134" w:type="dxa"/>
            <w:vAlign w:val="center"/>
          </w:tcPr>
          <w:p w14:paraId="7212D7B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7EA2CF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4DCB12D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39C90E35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b/>
          <w:color w:val="000000"/>
          <w:sz w:val="24"/>
          <w:szCs w:val="24"/>
        </w:rPr>
      </w:pPr>
      <w:r w:rsidRPr="00E40E62">
        <w:rPr>
          <w:rFonts w:eastAsia="Calibri"/>
          <w:b/>
          <w:color w:val="000000"/>
          <w:sz w:val="24"/>
          <w:szCs w:val="24"/>
        </w:rPr>
        <w:t>Evaluation du cours :</w:t>
      </w:r>
    </w:p>
    <w:p w14:paraId="7132EA9B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color w:val="000000"/>
          <w:sz w:val="24"/>
          <w:szCs w:val="24"/>
        </w:rPr>
      </w:pPr>
    </w:p>
    <w:tbl>
      <w:tblPr>
        <w:tblW w:w="6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88"/>
        <w:gridCol w:w="2228"/>
      </w:tblGrid>
      <w:tr w:rsidR="00E40E62" w:rsidRPr="00E40E62" w14:paraId="15AD0AB2" w14:textId="77777777" w:rsidTr="003F110E">
        <w:trPr>
          <w:trHeight w:val="714"/>
          <w:jc w:val="center"/>
        </w:trPr>
        <w:tc>
          <w:tcPr>
            <w:tcW w:w="4288" w:type="dxa"/>
          </w:tcPr>
          <w:p w14:paraId="2372FA27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Times New Roman" w:hAnsiTheme="majorBidi" w:cstheme="majorBidi"/>
                <w:bCs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Times New Roman" w:hAnsiTheme="majorBidi" w:cstheme="majorBidi"/>
                <w:bCs/>
                <w:color w:val="000000"/>
                <w:sz w:val="24"/>
                <w:szCs w:val="24"/>
              </w:rPr>
              <w:t>Aspect Organisationnel</w:t>
            </w:r>
          </w:p>
          <w:p w14:paraId="495F36F7" w14:textId="011808A1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20"/>
              <w:rPr>
                <w:rFonts w:asciiTheme="majorBidi" w:eastAsia="Calibri" w:hAnsiTheme="majorBidi" w:cstheme="majorBid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8" w:type="dxa"/>
          </w:tcPr>
          <w:p w14:paraId="72E89EDC" w14:textId="77777777" w:rsidR="00E40E62" w:rsidRPr="007D18F2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  <w:p w14:paraId="64CC88E8" w14:textId="106EA3AE" w:rsidR="00E81160" w:rsidRPr="007D18F2" w:rsidRDefault="0000399F" w:rsidP="00E85DEC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7D18F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100%</w:t>
            </w:r>
          </w:p>
        </w:tc>
      </w:tr>
      <w:tr w:rsidR="00E40E62" w:rsidRPr="00E40E62" w14:paraId="4C07D89D" w14:textId="77777777" w:rsidTr="003F110E">
        <w:trPr>
          <w:jc w:val="center"/>
        </w:trPr>
        <w:tc>
          <w:tcPr>
            <w:tcW w:w="4288" w:type="dxa"/>
          </w:tcPr>
          <w:p w14:paraId="07B4A96E" w14:textId="120FC63B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Système d’entrée</w:t>
            </w:r>
          </w:p>
        </w:tc>
        <w:tc>
          <w:tcPr>
            <w:tcW w:w="2228" w:type="dxa"/>
          </w:tcPr>
          <w:p w14:paraId="38D4853A" w14:textId="6A3B0D1A" w:rsidR="00E40E62" w:rsidRPr="007D18F2" w:rsidRDefault="00000000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sdt>
              <w:sdtPr>
                <w:rPr>
                  <w:rFonts w:asciiTheme="majorBidi" w:eastAsia="Calibri" w:hAnsiTheme="majorBidi" w:cstheme="majorBidi"/>
                  <w:b/>
                  <w:bCs/>
                </w:rPr>
                <w:tag w:val="goog_rdk_107"/>
                <w:id w:val="-1796205279"/>
              </w:sdtPr>
              <w:sdtContent>
                <w:r w:rsidR="007D18F2">
                  <w:rPr>
                    <w:rFonts w:asciiTheme="majorBidi" w:eastAsia="Calibri" w:hAnsiTheme="majorBidi" w:cstheme="majorBidi"/>
                    <w:b/>
                    <w:bCs/>
                    <w:sz w:val="24"/>
                    <w:szCs w:val="24"/>
                  </w:rPr>
                  <w:t>100%</w:t>
                </w:r>
              </w:sdtContent>
            </w:sdt>
          </w:p>
        </w:tc>
      </w:tr>
      <w:tr w:rsidR="00E40E62" w:rsidRPr="00E40E62" w14:paraId="3812AE93" w14:textId="77777777" w:rsidTr="003F110E">
        <w:trPr>
          <w:jc w:val="center"/>
        </w:trPr>
        <w:tc>
          <w:tcPr>
            <w:tcW w:w="4288" w:type="dxa"/>
          </w:tcPr>
          <w:p w14:paraId="2A7FFD0C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Système d’apprentissage</w:t>
            </w:r>
          </w:p>
        </w:tc>
        <w:tc>
          <w:tcPr>
            <w:tcW w:w="2228" w:type="dxa"/>
          </w:tcPr>
          <w:p w14:paraId="0B1B798C" w14:textId="2282C2EA" w:rsidR="00E40E62" w:rsidRPr="007D18F2" w:rsidRDefault="00000000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sdt>
              <w:sdtPr>
                <w:rPr>
                  <w:rFonts w:asciiTheme="majorBidi" w:eastAsia="Calibri" w:hAnsiTheme="majorBidi" w:cstheme="majorBidi"/>
                  <w:b/>
                  <w:bCs/>
                </w:rPr>
                <w:tag w:val="goog_rdk_108"/>
                <w:id w:val="-594020760"/>
              </w:sdtPr>
              <w:sdtContent>
                <w:r w:rsidR="006134F6" w:rsidRPr="007D18F2">
                  <w:rPr>
                    <w:rFonts w:asciiTheme="majorBidi" w:eastAsia="Calibri" w:hAnsiTheme="majorBidi" w:cstheme="majorBidi"/>
                    <w:b/>
                    <w:bCs/>
                  </w:rPr>
                  <w:t>100</w:t>
                </w:r>
              </w:sdtContent>
            </w:sdt>
            <w:r w:rsidR="00E40E62" w:rsidRPr="007D18F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</w:t>
            </w:r>
          </w:p>
        </w:tc>
      </w:tr>
      <w:tr w:rsidR="00E40E62" w:rsidRPr="00E40E62" w14:paraId="2CB4CC1E" w14:textId="77777777" w:rsidTr="003F110E">
        <w:trPr>
          <w:jc w:val="center"/>
        </w:trPr>
        <w:tc>
          <w:tcPr>
            <w:tcW w:w="4288" w:type="dxa"/>
          </w:tcPr>
          <w:p w14:paraId="2B33A7E7" w14:textId="74ABB502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Système de sortie</w:t>
            </w:r>
          </w:p>
        </w:tc>
        <w:tc>
          <w:tcPr>
            <w:tcW w:w="2228" w:type="dxa"/>
          </w:tcPr>
          <w:p w14:paraId="77BD1AA9" w14:textId="6D72237E" w:rsidR="00E40E62" w:rsidRPr="007D18F2" w:rsidRDefault="00000000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sdt>
              <w:sdtPr>
                <w:rPr>
                  <w:rFonts w:asciiTheme="majorBidi" w:eastAsia="Calibri" w:hAnsiTheme="majorBidi" w:cstheme="majorBidi"/>
                  <w:b/>
                  <w:bCs/>
                </w:rPr>
                <w:tag w:val="goog_rdk_109"/>
                <w:id w:val="1341280427"/>
              </w:sdtPr>
              <w:sdtContent>
                <w:r w:rsidR="007D18F2">
                  <w:rPr>
                    <w:rFonts w:asciiTheme="majorBidi" w:eastAsia="Calibri" w:hAnsiTheme="majorBidi" w:cstheme="majorBidi"/>
                    <w:b/>
                    <w:bCs/>
                    <w:sz w:val="24"/>
                    <w:szCs w:val="24"/>
                  </w:rPr>
                  <w:t>100%</w:t>
                </w:r>
              </w:sdtContent>
            </w:sdt>
          </w:p>
        </w:tc>
      </w:tr>
      <w:tr w:rsidR="00E40E62" w:rsidRPr="00E40E62" w14:paraId="14BE9AB3" w14:textId="77777777" w:rsidTr="003F110E">
        <w:trPr>
          <w:jc w:val="center"/>
        </w:trPr>
        <w:tc>
          <w:tcPr>
            <w:tcW w:w="4288" w:type="dxa"/>
          </w:tcPr>
          <w:p w14:paraId="3FC01884" w14:textId="626877B3"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Cs/>
                <w:color w:val="000000"/>
              </w:rPr>
            </w:pPr>
            <w:r w:rsidRPr="00E40E62">
              <w:rPr>
                <w:bCs/>
              </w:rPr>
              <w:t>Bibliographie</w:t>
            </w:r>
          </w:p>
        </w:tc>
        <w:tc>
          <w:tcPr>
            <w:tcW w:w="2228" w:type="dxa"/>
          </w:tcPr>
          <w:p w14:paraId="477954FF" w14:textId="36814E76" w:rsidR="00E40E62" w:rsidRPr="007D18F2" w:rsidRDefault="007D18F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100</w:t>
            </w:r>
            <w:r w:rsidRPr="007D18F2">
              <w:rPr>
                <w:rFonts w:eastAsia="Calibri"/>
                <w:b/>
                <w:bCs/>
                <w:sz w:val="28"/>
                <w:szCs w:val="28"/>
              </w:rPr>
              <w:t>%</w:t>
            </w:r>
          </w:p>
        </w:tc>
      </w:tr>
    </w:tbl>
    <w:p w14:paraId="6F417341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color w:val="000000"/>
          <w:sz w:val="24"/>
          <w:szCs w:val="24"/>
        </w:rPr>
      </w:pPr>
    </w:p>
    <w:p w14:paraId="3CEF8797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b/>
          <w:color w:val="000000"/>
          <w:sz w:val="24"/>
          <w:szCs w:val="24"/>
        </w:rPr>
      </w:pPr>
      <w:r w:rsidRPr="00E40E62">
        <w:rPr>
          <w:rFonts w:eastAsia="Calibri"/>
          <w:b/>
          <w:color w:val="000000"/>
          <w:sz w:val="24"/>
          <w:szCs w:val="24"/>
        </w:rPr>
        <w:t>Le barème :</w:t>
      </w:r>
    </w:p>
    <w:p w14:paraId="4C3172D0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color w:val="000000"/>
          <w:sz w:val="24"/>
          <w:szCs w:val="24"/>
        </w:rPr>
      </w:pPr>
    </w:p>
    <w:tbl>
      <w:tblPr>
        <w:tblW w:w="64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8"/>
        <w:gridCol w:w="2141"/>
        <w:gridCol w:w="2010"/>
      </w:tblGrid>
      <w:tr w:rsidR="00E40E62" w:rsidRPr="00E40E62" w14:paraId="7A791207" w14:textId="77777777" w:rsidTr="003F110E">
        <w:trPr>
          <w:trHeight w:val="266"/>
          <w:jc w:val="center"/>
        </w:trPr>
        <w:tc>
          <w:tcPr>
            <w:tcW w:w="2288" w:type="dxa"/>
          </w:tcPr>
          <w:p w14:paraId="200E6FEE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2141" w:type="dxa"/>
          </w:tcPr>
          <w:p w14:paraId="64E8B32F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Très satisfaisant</w:t>
            </w:r>
          </w:p>
        </w:tc>
        <w:tc>
          <w:tcPr>
            <w:tcW w:w="2010" w:type="dxa"/>
          </w:tcPr>
          <w:p w14:paraId="4E2EF4FB" w14:textId="77777777" w:rsidR="00E40E62" w:rsidRPr="007D18F2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D18F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100%</w:t>
            </w:r>
          </w:p>
        </w:tc>
      </w:tr>
      <w:tr w:rsidR="00E40E62" w:rsidRPr="00E40E62" w14:paraId="0BFAA840" w14:textId="77777777" w:rsidTr="003F110E">
        <w:trPr>
          <w:trHeight w:val="251"/>
          <w:jc w:val="center"/>
        </w:trPr>
        <w:tc>
          <w:tcPr>
            <w:tcW w:w="2288" w:type="dxa"/>
          </w:tcPr>
          <w:p w14:paraId="11B59660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2141" w:type="dxa"/>
          </w:tcPr>
          <w:p w14:paraId="7E568FDA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Satisfaisant </w:t>
            </w:r>
          </w:p>
        </w:tc>
        <w:tc>
          <w:tcPr>
            <w:tcW w:w="2010" w:type="dxa"/>
          </w:tcPr>
          <w:p w14:paraId="59D99A20" w14:textId="77777777" w:rsidR="00E40E62" w:rsidRPr="007D18F2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D18F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75%</w:t>
            </w:r>
          </w:p>
        </w:tc>
      </w:tr>
      <w:tr w:rsidR="00E40E62" w:rsidRPr="00E40E62" w14:paraId="59F74A81" w14:textId="77777777" w:rsidTr="003F110E">
        <w:trPr>
          <w:trHeight w:val="266"/>
          <w:jc w:val="center"/>
        </w:trPr>
        <w:tc>
          <w:tcPr>
            <w:tcW w:w="2288" w:type="dxa"/>
          </w:tcPr>
          <w:p w14:paraId="2A1564EF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2141" w:type="dxa"/>
          </w:tcPr>
          <w:p w14:paraId="11CDFBD2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Passable </w:t>
            </w:r>
          </w:p>
        </w:tc>
        <w:tc>
          <w:tcPr>
            <w:tcW w:w="2010" w:type="dxa"/>
          </w:tcPr>
          <w:p w14:paraId="26425659" w14:textId="77777777" w:rsidR="00E40E62" w:rsidRPr="007D18F2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D18F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50%</w:t>
            </w:r>
          </w:p>
        </w:tc>
      </w:tr>
      <w:tr w:rsidR="00E40E62" w:rsidRPr="00E40E62" w14:paraId="491B60D9" w14:textId="77777777" w:rsidTr="003F110E">
        <w:trPr>
          <w:trHeight w:val="251"/>
          <w:jc w:val="center"/>
        </w:trPr>
        <w:tc>
          <w:tcPr>
            <w:tcW w:w="2288" w:type="dxa"/>
          </w:tcPr>
          <w:p w14:paraId="7EF21D36" w14:textId="77777777"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40E62">
              <w:rPr>
                <w:rFonts w:eastAsia="Calibri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2141" w:type="dxa"/>
          </w:tcPr>
          <w:p w14:paraId="2957A577" w14:textId="77777777"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40E62">
              <w:rPr>
                <w:rFonts w:eastAsia="Calibri"/>
                <w:color w:val="000000"/>
                <w:sz w:val="24"/>
                <w:szCs w:val="24"/>
              </w:rPr>
              <w:t>Insatisfaisant</w:t>
            </w:r>
          </w:p>
        </w:tc>
        <w:tc>
          <w:tcPr>
            <w:tcW w:w="2010" w:type="dxa"/>
          </w:tcPr>
          <w:p w14:paraId="2273A205" w14:textId="77777777" w:rsidR="00E40E62" w:rsidRPr="007D18F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7D18F2">
              <w:rPr>
                <w:rFonts w:eastAsia="Calibri"/>
                <w:b/>
                <w:bCs/>
                <w:color w:val="000000"/>
                <w:sz w:val="24"/>
                <w:szCs w:val="24"/>
              </w:rPr>
              <w:t>25%</w:t>
            </w:r>
          </w:p>
        </w:tc>
      </w:tr>
    </w:tbl>
    <w:p w14:paraId="5A054DAA" w14:textId="28206E46" w:rsidR="00A5005E" w:rsidRDefault="008E0812">
      <w:r>
        <w:t xml:space="preserve">    </w:t>
      </w:r>
    </w:p>
    <w:p w14:paraId="6A372F21" w14:textId="77777777" w:rsidR="008E0812" w:rsidRDefault="008E0812"/>
    <w:p w14:paraId="74A2D595" w14:textId="746E90E9" w:rsidR="009E7D53" w:rsidRPr="008E0812" w:rsidRDefault="008E0812" w:rsidP="00BA04E3">
      <w:pPr>
        <w:rPr>
          <w:b/>
          <w:bCs/>
          <w:u w:val="single"/>
          <w:lang w:bidi="ar-DZ"/>
        </w:rPr>
      </w:pPr>
      <w:r>
        <w:t xml:space="preserve">            </w:t>
      </w:r>
      <w:r w:rsidRPr="008E0812">
        <w:rPr>
          <w:u w:val="single"/>
        </w:rPr>
        <w:t xml:space="preserve"> </w:t>
      </w:r>
      <w:r w:rsidR="00BA04E3" w:rsidRPr="00BA04E3">
        <w:rPr>
          <w:rFonts w:eastAsia="Calibri"/>
          <w:b/>
          <w:color w:val="000000"/>
          <w:sz w:val="24"/>
          <w:szCs w:val="24"/>
          <w:u w:val="single"/>
        </w:rPr>
        <w:t>Evaluation</w:t>
      </w:r>
      <w:r w:rsidR="00AE1BB1" w:rsidRPr="00BA04E3">
        <w:rPr>
          <w:b/>
          <w:bCs/>
          <w:u w:val="single"/>
          <w:lang w:bidi="ar-DZ"/>
        </w:rPr>
        <w:t> :</w:t>
      </w:r>
      <w:r w:rsidR="00AE1BB1" w:rsidRPr="00AE1BB1">
        <w:rPr>
          <w:b/>
          <w:bCs/>
          <w:lang w:bidi="ar-DZ"/>
        </w:rPr>
        <w:t xml:space="preserve">  </w:t>
      </w:r>
      <w:r w:rsidR="00BA04E3">
        <w:rPr>
          <w:b/>
          <w:bCs/>
          <w:lang w:bidi="ar-DZ"/>
        </w:rPr>
        <w:t>%</w:t>
      </w:r>
      <w:r w:rsidR="00AE1BB1" w:rsidRPr="00AE1BB1">
        <w:rPr>
          <w:b/>
          <w:bCs/>
          <w:lang w:bidi="ar-DZ"/>
        </w:rPr>
        <w:t xml:space="preserve">                       </w:t>
      </w:r>
    </w:p>
    <w:sectPr w:rsidR="009E7D53" w:rsidRPr="008E0812" w:rsidSect="00784829">
      <w:headerReference w:type="default" r:id="rId8"/>
      <w:pgSz w:w="12240" w:h="15840"/>
      <w:pgMar w:top="1134" w:right="1134" w:bottom="1134" w:left="1134" w:header="68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AFB0AA" w14:textId="77777777" w:rsidR="00A4024A" w:rsidRDefault="00A4024A" w:rsidP="0000399F">
      <w:pPr>
        <w:spacing w:after="0" w:line="240" w:lineRule="auto"/>
      </w:pPr>
      <w:r>
        <w:separator/>
      </w:r>
    </w:p>
  </w:endnote>
  <w:endnote w:type="continuationSeparator" w:id="0">
    <w:p w14:paraId="632E74A1" w14:textId="77777777" w:rsidR="00A4024A" w:rsidRDefault="00A4024A" w:rsidP="00003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F5A9DB7-BD2F-4E12-A0E9-BD4B7A4C58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331AB33-9BA6-46EF-BBD9-F3454A931A7F}"/>
    <w:embedBold r:id="rId3" w:fontKey="{52ADB03E-68BF-46F7-B404-9D2DEC0CE73A}"/>
    <w:embedBoldItalic r:id="rId4" w:fontKey="{C7367B50-4BEB-4C60-BA16-BC290673BD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6858A44-D602-4F89-9EFE-931C23DB4CF3}"/>
    <w:embedItalic r:id="rId6" w:fontKey="{D8FBDFB7-35DA-4ACC-85B7-D0EB4F4460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3DEA4E0-490D-4053-AAF3-5640CCBBE1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0A664" w14:textId="77777777" w:rsidR="00A4024A" w:rsidRDefault="00A4024A" w:rsidP="0000399F">
      <w:pPr>
        <w:spacing w:after="0" w:line="240" w:lineRule="auto"/>
      </w:pPr>
      <w:r>
        <w:separator/>
      </w:r>
    </w:p>
  </w:footnote>
  <w:footnote w:type="continuationSeparator" w:id="0">
    <w:p w14:paraId="72C105D1" w14:textId="77777777" w:rsidR="00A4024A" w:rsidRDefault="00A4024A" w:rsidP="00003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9D19B" w14:textId="77777777" w:rsidR="00774E50" w:rsidRDefault="00774E50" w:rsidP="0086097F">
    <w:pPr>
      <w:pStyle w:val="En-tte"/>
    </w:pPr>
  </w:p>
  <w:p w14:paraId="3CCC6552" w14:textId="77777777" w:rsidR="00774E50" w:rsidRPr="0086097F" w:rsidRDefault="00774E50" w:rsidP="0086097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4197B"/>
    <w:multiLevelType w:val="multilevel"/>
    <w:tmpl w:val="4F362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4B34F9"/>
    <w:multiLevelType w:val="hybridMultilevel"/>
    <w:tmpl w:val="DC58B392"/>
    <w:lvl w:ilvl="0" w:tplc="977CFA1E">
      <w:start w:val="1"/>
      <w:numFmt w:val="bullet"/>
      <w:lvlText w:val="@"/>
      <w:lvlJc w:val="left"/>
      <w:pPr>
        <w:ind w:left="1080" w:hanging="360"/>
      </w:pPr>
      <w:rPr>
        <w:rFonts w:ascii="Wingdings" w:hAnsi="Wingdings" w:hint="default"/>
        <w:b/>
        <w:bCs/>
        <w:strike w:val="0"/>
        <w:dstrike w:val="0"/>
        <w:color w:val="00B050"/>
        <w:spacing w:val="0"/>
        <w:w w:val="100"/>
        <w:kern w:val="0"/>
        <w:position w:val="0"/>
        <w:sz w:val="56"/>
        <w:szCs w:val="56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DD30FB4"/>
    <w:multiLevelType w:val="multilevel"/>
    <w:tmpl w:val="E2080E4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48621873">
    <w:abstractNumId w:val="0"/>
  </w:num>
  <w:num w:numId="2" w16cid:durableId="805005525">
    <w:abstractNumId w:val="2"/>
  </w:num>
  <w:num w:numId="3" w16cid:durableId="6750349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05E"/>
    <w:rsid w:val="00000476"/>
    <w:rsid w:val="0000399F"/>
    <w:rsid w:val="00091C27"/>
    <w:rsid w:val="000B5192"/>
    <w:rsid w:val="000C68B2"/>
    <w:rsid w:val="00105411"/>
    <w:rsid w:val="00195412"/>
    <w:rsid w:val="001E1841"/>
    <w:rsid w:val="00221499"/>
    <w:rsid w:val="002657F8"/>
    <w:rsid w:val="002C5BB6"/>
    <w:rsid w:val="0038498A"/>
    <w:rsid w:val="003F110E"/>
    <w:rsid w:val="00432DAC"/>
    <w:rsid w:val="00551B8C"/>
    <w:rsid w:val="00580DAB"/>
    <w:rsid w:val="00585028"/>
    <w:rsid w:val="006134F6"/>
    <w:rsid w:val="00620013"/>
    <w:rsid w:val="006673C6"/>
    <w:rsid w:val="00774E50"/>
    <w:rsid w:val="00784829"/>
    <w:rsid w:val="007B1195"/>
    <w:rsid w:val="007C7F82"/>
    <w:rsid w:val="007D18F2"/>
    <w:rsid w:val="008135D5"/>
    <w:rsid w:val="0086097F"/>
    <w:rsid w:val="00871E49"/>
    <w:rsid w:val="0087780B"/>
    <w:rsid w:val="008E0812"/>
    <w:rsid w:val="008E6A21"/>
    <w:rsid w:val="00921F42"/>
    <w:rsid w:val="00926AAD"/>
    <w:rsid w:val="009649E0"/>
    <w:rsid w:val="009E7D53"/>
    <w:rsid w:val="00A4024A"/>
    <w:rsid w:val="00A5005E"/>
    <w:rsid w:val="00AD70A3"/>
    <w:rsid w:val="00AE1BB1"/>
    <w:rsid w:val="00AE29AF"/>
    <w:rsid w:val="00B24179"/>
    <w:rsid w:val="00B65C14"/>
    <w:rsid w:val="00BA04E3"/>
    <w:rsid w:val="00BD7B77"/>
    <w:rsid w:val="00BE57AA"/>
    <w:rsid w:val="00CD05AC"/>
    <w:rsid w:val="00CF50CF"/>
    <w:rsid w:val="00D33D01"/>
    <w:rsid w:val="00DD0DD9"/>
    <w:rsid w:val="00DD7C41"/>
    <w:rsid w:val="00E40E62"/>
    <w:rsid w:val="00E81160"/>
    <w:rsid w:val="00E85DEC"/>
    <w:rsid w:val="00EA5C5C"/>
    <w:rsid w:val="00ED26C2"/>
    <w:rsid w:val="00F07940"/>
    <w:rsid w:val="00F378EE"/>
    <w:rsid w:val="00FD131E"/>
    <w:rsid w:val="00FD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D2B18D"/>
  <w15:docId w15:val="{0E33C542-F741-47E5-A16E-F7CD8898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4CD"/>
    <w:rPr>
      <w:rFonts w:eastAsiaTheme="minorEastAsia"/>
      <w:lang w:eastAsia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59"/>
    <w:rsid w:val="00A674CD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A674C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2358"/>
    <w:pPr>
      <w:spacing w:before="100" w:beforeAutospacing="1" w:after="144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pPr>
      <w:spacing w:after="0" w:line="240" w:lineRule="auto"/>
    </w:pPr>
    <w:tblPr>
      <w:tblStyleRowBandSize w:val="1"/>
      <w:tblStyleColBandSize w:val="1"/>
    </w:tblPr>
  </w:style>
  <w:style w:type="paragraph" w:styleId="En-tte">
    <w:name w:val="header"/>
    <w:basedOn w:val="Normal"/>
    <w:link w:val="En-tteCar"/>
    <w:uiPriority w:val="99"/>
    <w:unhideWhenUsed/>
    <w:rsid w:val="00003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399F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3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399F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DPIQp/6iRWRiioYWhjuBF0hGpw==">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HAKIM</dc:creator>
  <cp:lastModifiedBy>lenovo</cp:lastModifiedBy>
  <cp:revision>2</cp:revision>
  <cp:lastPrinted>2025-08-22T14:22:00Z</cp:lastPrinted>
  <dcterms:created xsi:type="dcterms:W3CDTF">2025-08-22T15:42:00Z</dcterms:created>
  <dcterms:modified xsi:type="dcterms:W3CDTF">2025-08-22T15:42:00Z</dcterms:modified>
</cp:coreProperties>
</file>