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3B" w:rsidRDefault="00657C3B" w:rsidP="00657C3B">
      <w:pPr>
        <w:bidi/>
        <w:rPr>
          <w:color w:val="000000"/>
          <w:rtl/>
        </w:rPr>
      </w:pPr>
    </w:p>
    <w:p w:rsidR="00657C3B" w:rsidRPr="00657C3B" w:rsidRDefault="00657C3B" w:rsidP="00657C3B">
      <w:pPr>
        <w:bidi/>
        <w:spacing w:before="100" w:beforeAutospacing="1" w:after="100" w:afterAutospacing="1"/>
        <w:jc w:val="center"/>
        <w:outlineLvl w:val="2"/>
        <w:rPr>
          <w:b/>
          <w:bCs/>
          <w:color w:val="000000"/>
          <w:sz w:val="27"/>
          <w:szCs w:val="27"/>
          <w:u w:val="single"/>
        </w:rPr>
      </w:pPr>
      <w:r w:rsidRPr="00657C3B">
        <w:rPr>
          <w:b/>
          <w:bCs/>
          <w:color w:val="000000"/>
          <w:sz w:val="27"/>
          <w:szCs w:val="27"/>
          <w:highlight w:val="lightGray"/>
          <w:u w:val="single"/>
          <w:rtl/>
        </w:rPr>
        <w:t>برنامج "الأعمال التجارية الدولية والعولمة</w:t>
      </w:r>
      <w:r w:rsidRPr="00657C3B">
        <w:rPr>
          <w:b/>
          <w:bCs/>
          <w:color w:val="000000"/>
          <w:sz w:val="27"/>
          <w:szCs w:val="27"/>
          <w:highlight w:val="lightGray"/>
          <w:u w:val="single"/>
        </w:rPr>
        <w:t>"</w:t>
      </w:r>
    </w:p>
    <w:p w:rsidR="00657C3B" w:rsidRPr="00657C3B" w:rsidRDefault="00657C3B" w:rsidP="00657C3B">
      <w:pPr>
        <w:pStyle w:val="Paragraphedeliste"/>
        <w:numPr>
          <w:ilvl w:val="0"/>
          <w:numId w:val="22"/>
        </w:numPr>
        <w:bidi/>
        <w:spacing w:before="100" w:beforeAutospacing="1" w:after="100" w:afterAutospacing="1"/>
        <w:outlineLvl w:val="3"/>
        <w:rPr>
          <w:b/>
          <w:bCs/>
          <w:color w:val="000000"/>
        </w:rPr>
      </w:pPr>
      <w:r w:rsidRPr="00657C3B">
        <w:rPr>
          <w:b/>
          <w:bCs/>
          <w:color w:val="000000"/>
          <w:rtl/>
        </w:rPr>
        <w:t xml:space="preserve"> مقدمة إلى الأعمال التجارية الدولية</w:t>
      </w:r>
    </w:p>
    <w:p w:rsidR="00657C3B" w:rsidRPr="00657C3B" w:rsidRDefault="00657C3B" w:rsidP="00657C3B">
      <w:pPr>
        <w:numPr>
          <w:ilvl w:val="0"/>
          <w:numId w:val="11"/>
        </w:numPr>
        <w:bidi/>
        <w:spacing w:before="100" w:beforeAutospacing="1" w:after="100" w:afterAutospacing="1"/>
        <w:rPr>
          <w:color w:val="000000"/>
        </w:rPr>
      </w:pPr>
      <w:r w:rsidRPr="00657C3B">
        <w:rPr>
          <w:b/>
          <w:bCs/>
          <w:color w:val="000000"/>
          <w:rtl/>
        </w:rPr>
        <w:t>مفهوم الأعمال الدولية</w:t>
      </w:r>
      <w:r w:rsidRPr="00657C3B">
        <w:rPr>
          <w:color w:val="000000"/>
        </w:rPr>
        <w:t xml:space="preserve">: </w:t>
      </w:r>
      <w:r w:rsidRPr="00657C3B">
        <w:rPr>
          <w:color w:val="000000"/>
          <w:rtl/>
        </w:rPr>
        <w:t>التعريف والأهمية في الاقتصاد العالمي</w:t>
      </w:r>
      <w:r w:rsidRPr="00657C3B">
        <w:rPr>
          <w:color w:val="000000"/>
        </w:rPr>
        <w:t>.</w:t>
      </w:r>
    </w:p>
    <w:p w:rsidR="00657C3B" w:rsidRPr="00657C3B" w:rsidRDefault="00657C3B" w:rsidP="00657C3B">
      <w:pPr>
        <w:numPr>
          <w:ilvl w:val="0"/>
          <w:numId w:val="11"/>
        </w:numPr>
        <w:bidi/>
        <w:spacing w:before="100" w:beforeAutospacing="1" w:after="100" w:afterAutospacing="1"/>
        <w:rPr>
          <w:color w:val="000000"/>
        </w:rPr>
      </w:pPr>
      <w:r w:rsidRPr="00657C3B">
        <w:rPr>
          <w:b/>
          <w:bCs/>
          <w:color w:val="000000"/>
          <w:rtl/>
        </w:rPr>
        <w:t>الفرق بين الأعمال المحلية والدولية</w:t>
      </w:r>
      <w:r w:rsidRPr="00657C3B">
        <w:rPr>
          <w:color w:val="000000"/>
        </w:rPr>
        <w:t xml:space="preserve">: </w:t>
      </w:r>
      <w:r w:rsidRPr="00657C3B">
        <w:rPr>
          <w:color w:val="000000"/>
          <w:rtl/>
        </w:rPr>
        <w:t>تحليل الفروقات الرئيسية بين السوق المحلي والسوق الدولي</w:t>
      </w:r>
      <w:r w:rsidRPr="00657C3B">
        <w:rPr>
          <w:color w:val="000000"/>
        </w:rPr>
        <w:t>.</w:t>
      </w:r>
    </w:p>
    <w:p w:rsidR="00657C3B" w:rsidRPr="00657C3B" w:rsidRDefault="00657C3B" w:rsidP="00657C3B">
      <w:pPr>
        <w:numPr>
          <w:ilvl w:val="0"/>
          <w:numId w:val="11"/>
        </w:numPr>
        <w:bidi/>
        <w:spacing w:before="100" w:beforeAutospacing="1" w:after="100" w:afterAutospacing="1"/>
        <w:rPr>
          <w:color w:val="000000"/>
        </w:rPr>
      </w:pPr>
      <w:r w:rsidRPr="00657C3B">
        <w:rPr>
          <w:b/>
          <w:bCs/>
          <w:color w:val="000000"/>
          <w:rtl/>
        </w:rPr>
        <w:t>العولمة وتأثيرها على الأعمال</w:t>
      </w:r>
      <w:r w:rsidRPr="00657C3B">
        <w:rPr>
          <w:color w:val="000000"/>
        </w:rPr>
        <w:t>:</w:t>
      </w:r>
    </w:p>
    <w:p w:rsidR="00657C3B" w:rsidRPr="00657C3B" w:rsidRDefault="00657C3B" w:rsidP="00657C3B">
      <w:pPr>
        <w:numPr>
          <w:ilvl w:val="1"/>
          <w:numId w:val="11"/>
        </w:numPr>
        <w:bidi/>
        <w:spacing w:before="100" w:beforeAutospacing="1" w:after="100" w:afterAutospacing="1"/>
        <w:rPr>
          <w:color w:val="000000"/>
        </w:rPr>
      </w:pPr>
      <w:r w:rsidRPr="00657C3B">
        <w:rPr>
          <w:color w:val="000000"/>
          <w:rtl/>
        </w:rPr>
        <w:t>تعريف العولمة (اقتصادية، ثقافية، سياسية</w:t>
      </w:r>
      <w:r w:rsidRPr="00657C3B">
        <w:rPr>
          <w:color w:val="000000"/>
        </w:rPr>
        <w:t>).</w:t>
      </w:r>
    </w:p>
    <w:p w:rsidR="00657C3B" w:rsidRPr="00657C3B" w:rsidRDefault="00657C3B" w:rsidP="00657C3B">
      <w:pPr>
        <w:numPr>
          <w:ilvl w:val="1"/>
          <w:numId w:val="11"/>
        </w:numPr>
        <w:bidi/>
        <w:spacing w:before="100" w:beforeAutospacing="1" w:after="100" w:afterAutospacing="1"/>
        <w:rPr>
          <w:color w:val="000000"/>
        </w:rPr>
      </w:pPr>
      <w:r w:rsidRPr="00657C3B">
        <w:rPr>
          <w:color w:val="000000"/>
          <w:rtl/>
        </w:rPr>
        <w:t>تأثير العولمة على الشركات والاقتصادات الوطنية</w:t>
      </w:r>
      <w:r w:rsidRPr="00657C3B">
        <w:rPr>
          <w:color w:val="000000"/>
        </w:rPr>
        <w:t>.</w:t>
      </w:r>
    </w:p>
    <w:p w:rsidR="00657C3B" w:rsidRPr="00657C3B" w:rsidRDefault="00657C3B" w:rsidP="00657C3B">
      <w:pPr>
        <w:numPr>
          <w:ilvl w:val="1"/>
          <w:numId w:val="11"/>
        </w:numPr>
        <w:bidi/>
        <w:spacing w:before="100" w:beforeAutospacing="1" w:after="100" w:afterAutospacing="1"/>
        <w:rPr>
          <w:color w:val="000000"/>
        </w:rPr>
      </w:pPr>
      <w:r w:rsidRPr="00657C3B">
        <w:rPr>
          <w:color w:val="000000"/>
          <w:rtl/>
        </w:rPr>
        <w:t>فرص وتحديات العولمة، خاصة في الأسواق الناشئة</w:t>
      </w:r>
      <w:r w:rsidRPr="00657C3B">
        <w:rPr>
          <w:color w:val="000000"/>
        </w:rPr>
        <w:t>.</w:t>
      </w:r>
    </w:p>
    <w:p w:rsidR="00657C3B" w:rsidRPr="00657C3B" w:rsidRDefault="00657C3B" w:rsidP="00657C3B">
      <w:pPr>
        <w:pStyle w:val="Paragraphedeliste"/>
        <w:numPr>
          <w:ilvl w:val="0"/>
          <w:numId w:val="22"/>
        </w:numPr>
        <w:bidi/>
        <w:spacing w:before="100" w:beforeAutospacing="1" w:after="100" w:afterAutospacing="1"/>
        <w:outlineLvl w:val="3"/>
        <w:rPr>
          <w:b/>
          <w:bCs/>
          <w:color w:val="000000"/>
        </w:rPr>
      </w:pPr>
      <w:r w:rsidRPr="00657C3B">
        <w:rPr>
          <w:b/>
          <w:bCs/>
          <w:color w:val="000000"/>
          <w:rtl/>
        </w:rPr>
        <w:t xml:space="preserve"> السياسات التجارية الدولية</w:t>
      </w:r>
    </w:p>
    <w:p w:rsidR="00657C3B" w:rsidRPr="00657C3B" w:rsidRDefault="00657C3B" w:rsidP="00657C3B">
      <w:pPr>
        <w:numPr>
          <w:ilvl w:val="0"/>
          <w:numId w:val="12"/>
        </w:numPr>
        <w:bidi/>
        <w:spacing w:before="100" w:beforeAutospacing="1" w:after="100" w:afterAutospacing="1"/>
        <w:rPr>
          <w:color w:val="000000"/>
        </w:rPr>
      </w:pPr>
      <w:r w:rsidRPr="00657C3B">
        <w:rPr>
          <w:b/>
          <w:bCs/>
          <w:color w:val="000000"/>
          <w:rtl/>
        </w:rPr>
        <w:t>أنواع السياسات التجارية</w:t>
      </w:r>
      <w:r w:rsidRPr="00657C3B">
        <w:rPr>
          <w:color w:val="000000"/>
        </w:rPr>
        <w:t>:</w:t>
      </w:r>
    </w:p>
    <w:p w:rsidR="00657C3B" w:rsidRPr="00657C3B" w:rsidRDefault="00657C3B" w:rsidP="00657C3B">
      <w:pPr>
        <w:numPr>
          <w:ilvl w:val="1"/>
          <w:numId w:val="12"/>
        </w:numPr>
        <w:bidi/>
        <w:spacing w:before="100" w:beforeAutospacing="1" w:after="100" w:afterAutospacing="1"/>
        <w:rPr>
          <w:color w:val="000000"/>
        </w:rPr>
      </w:pPr>
      <w:r w:rsidRPr="00657C3B">
        <w:rPr>
          <w:color w:val="000000"/>
          <w:rtl/>
        </w:rPr>
        <w:t>الحواجز الجمركية وغير الجمركية</w:t>
      </w:r>
      <w:r w:rsidRPr="00657C3B">
        <w:rPr>
          <w:color w:val="000000"/>
        </w:rPr>
        <w:t>.</w:t>
      </w:r>
    </w:p>
    <w:p w:rsidR="00657C3B" w:rsidRPr="00657C3B" w:rsidRDefault="00657C3B" w:rsidP="00657C3B">
      <w:pPr>
        <w:numPr>
          <w:ilvl w:val="1"/>
          <w:numId w:val="12"/>
        </w:numPr>
        <w:bidi/>
        <w:spacing w:before="100" w:beforeAutospacing="1" w:after="100" w:afterAutospacing="1"/>
        <w:rPr>
          <w:color w:val="000000"/>
        </w:rPr>
      </w:pPr>
      <w:r w:rsidRPr="00657C3B">
        <w:rPr>
          <w:color w:val="000000"/>
          <w:rtl/>
        </w:rPr>
        <w:t>القيود الطوعية، إغراق الأسواق، والإعانات</w:t>
      </w:r>
      <w:r w:rsidRPr="00657C3B">
        <w:rPr>
          <w:color w:val="000000"/>
        </w:rPr>
        <w:t>.</w:t>
      </w:r>
    </w:p>
    <w:p w:rsidR="00657C3B" w:rsidRPr="00657C3B" w:rsidRDefault="00657C3B" w:rsidP="00657C3B">
      <w:pPr>
        <w:numPr>
          <w:ilvl w:val="0"/>
          <w:numId w:val="12"/>
        </w:numPr>
        <w:bidi/>
        <w:spacing w:before="100" w:beforeAutospacing="1" w:after="100" w:afterAutospacing="1"/>
        <w:rPr>
          <w:color w:val="000000"/>
        </w:rPr>
      </w:pPr>
      <w:r w:rsidRPr="00657C3B">
        <w:rPr>
          <w:b/>
          <w:bCs/>
          <w:color w:val="000000"/>
          <w:rtl/>
        </w:rPr>
        <w:t>استراتيجيات التجارة الدولية</w:t>
      </w:r>
      <w:r w:rsidRPr="00657C3B">
        <w:rPr>
          <w:color w:val="000000"/>
        </w:rPr>
        <w:t>:</w:t>
      </w:r>
    </w:p>
    <w:p w:rsidR="00657C3B" w:rsidRPr="00657C3B" w:rsidRDefault="00657C3B" w:rsidP="00657C3B">
      <w:pPr>
        <w:pStyle w:val="Paragraphedeliste"/>
        <w:numPr>
          <w:ilvl w:val="0"/>
          <w:numId w:val="22"/>
        </w:numPr>
        <w:bidi/>
        <w:spacing w:before="100" w:beforeAutospacing="1" w:after="100" w:afterAutospacing="1"/>
        <w:outlineLvl w:val="3"/>
        <w:rPr>
          <w:b/>
          <w:bCs/>
          <w:color w:val="000000"/>
        </w:rPr>
      </w:pPr>
      <w:r w:rsidRPr="00657C3B">
        <w:rPr>
          <w:b/>
          <w:bCs/>
          <w:color w:val="000000"/>
          <w:rtl/>
        </w:rPr>
        <w:t>توزيع المنتجات والخدمات دولياً</w:t>
      </w:r>
    </w:p>
    <w:p w:rsidR="00657C3B" w:rsidRPr="00657C3B" w:rsidRDefault="00657C3B" w:rsidP="00657C3B">
      <w:pPr>
        <w:numPr>
          <w:ilvl w:val="0"/>
          <w:numId w:val="13"/>
        </w:numPr>
        <w:bidi/>
        <w:spacing w:before="100" w:beforeAutospacing="1" w:after="100" w:afterAutospacing="1"/>
        <w:rPr>
          <w:color w:val="000000"/>
        </w:rPr>
      </w:pPr>
      <w:r w:rsidRPr="00657C3B">
        <w:rPr>
          <w:b/>
          <w:bCs/>
          <w:color w:val="000000"/>
          <w:rtl/>
        </w:rPr>
        <w:t>قنوات التوزيع الدولي</w:t>
      </w:r>
      <w:r w:rsidRPr="00657C3B">
        <w:rPr>
          <w:color w:val="000000"/>
        </w:rPr>
        <w:t>:</w:t>
      </w:r>
    </w:p>
    <w:p w:rsidR="00657C3B" w:rsidRPr="00657C3B" w:rsidRDefault="00657C3B" w:rsidP="00657C3B">
      <w:pPr>
        <w:numPr>
          <w:ilvl w:val="1"/>
          <w:numId w:val="13"/>
        </w:numPr>
        <w:bidi/>
        <w:spacing w:before="100" w:beforeAutospacing="1" w:after="100" w:afterAutospacing="1"/>
        <w:rPr>
          <w:color w:val="000000"/>
        </w:rPr>
      </w:pPr>
      <w:r w:rsidRPr="00657C3B">
        <w:rPr>
          <w:color w:val="000000"/>
          <w:rtl/>
        </w:rPr>
        <w:t>الشحن والنقل الدولي للبضائع</w:t>
      </w:r>
      <w:r w:rsidRPr="00657C3B">
        <w:rPr>
          <w:color w:val="000000"/>
        </w:rPr>
        <w:t>.</w:t>
      </w:r>
    </w:p>
    <w:p w:rsidR="00657C3B" w:rsidRPr="00657C3B" w:rsidRDefault="00657C3B" w:rsidP="00657C3B">
      <w:pPr>
        <w:numPr>
          <w:ilvl w:val="1"/>
          <w:numId w:val="13"/>
        </w:numPr>
        <w:bidi/>
        <w:spacing w:before="100" w:beforeAutospacing="1" w:after="100" w:afterAutospacing="1"/>
        <w:rPr>
          <w:color w:val="000000"/>
        </w:rPr>
      </w:pPr>
      <w:r w:rsidRPr="00657C3B">
        <w:rPr>
          <w:color w:val="000000"/>
          <w:rtl/>
        </w:rPr>
        <w:t>التخزين الدولي وأهمية البنية التحتية</w:t>
      </w:r>
      <w:r w:rsidRPr="00657C3B">
        <w:rPr>
          <w:color w:val="000000"/>
        </w:rPr>
        <w:t>.</w:t>
      </w:r>
    </w:p>
    <w:p w:rsidR="00657C3B" w:rsidRPr="00657C3B" w:rsidRDefault="00657C3B" w:rsidP="00657C3B">
      <w:pPr>
        <w:numPr>
          <w:ilvl w:val="0"/>
          <w:numId w:val="13"/>
        </w:numPr>
        <w:bidi/>
        <w:spacing w:before="100" w:beforeAutospacing="1" w:after="100" w:afterAutospacing="1"/>
        <w:rPr>
          <w:color w:val="000000"/>
        </w:rPr>
      </w:pPr>
      <w:r w:rsidRPr="00657C3B">
        <w:rPr>
          <w:b/>
          <w:bCs/>
          <w:color w:val="000000"/>
          <w:rtl/>
        </w:rPr>
        <w:t>إجراءات التوزيع</w:t>
      </w:r>
      <w:r w:rsidRPr="00657C3B">
        <w:rPr>
          <w:color w:val="000000"/>
        </w:rPr>
        <w:t xml:space="preserve">: </w:t>
      </w:r>
      <w:r w:rsidRPr="00657C3B">
        <w:rPr>
          <w:color w:val="000000"/>
          <w:rtl/>
        </w:rPr>
        <w:t>الوثائق والإجراءات اللازمة للشحن والنقل عبر الحدود</w:t>
      </w:r>
      <w:r w:rsidRPr="00657C3B">
        <w:rPr>
          <w:color w:val="000000"/>
        </w:rPr>
        <w:t>.</w:t>
      </w:r>
    </w:p>
    <w:p w:rsidR="00657C3B" w:rsidRPr="00657C3B" w:rsidRDefault="00657C3B" w:rsidP="00657C3B">
      <w:pPr>
        <w:numPr>
          <w:ilvl w:val="0"/>
          <w:numId w:val="13"/>
        </w:numPr>
        <w:bidi/>
        <w:spacing w:before="100" w:beforeAutospacing="1" w:after="100" w:afterAutospacing="1"/>
        <w:rPr>
          <w:color w:val="000000"/>
        </w:rPr>
      </w:pPr>
      <w:r w:rsidRPr="00657C3B">
        <w:rPr>
          <w:b/>
          <w:bCs/>
          <w:color w:val="000000"/>
          <w:rtl/>
        </w:rPr>
        <w:t>قنوات التوزيع العالمية</w:t>
      </w:r>
      <w:r w:rsidRPr="00657C3B">
        <w:rPr>
          <w:color w:val="000000"/>
        </w:rPr>
        <w:t xml:space="preserve">: </w:t>
      </w:r>
      <w:r w:rsidRPr="00657C3B">
        <w:rPr>
          <w:color w:val="000000"/>
          <w:rtl/>
        </w:rPr>
        <w:t>دور تجار الجملة والتجزئة، الوسطاء، والسماسرة في توزيع المنتجات دولياً</w:t>
      </w:r>
      <w:r w:rsidRPr="00657C3B">
        <w:rPr>
          <w:color w:val="000000"/>
        </w:rPr>
        <w:t>.</w:t>
      </w:r>
    </w:p>
    <w:p w:rsidR="00657C3B" w:rsidRPr="00657C3B" w:rsidRDefault="00657C3B" w:rsidP="00657C3B">
      <w:pPr>
        <w:pStyle w:val="Paragraphedeliste"/>
        <w:numPr>
          <w:ilvl w:val="0"/>
          <w:numId w:val="22"/>
        </w:numPr>
        <w:bidi/>
        <w:spacing w:before="100" w:beforeAutospacing="1" w:after="100" w:afterAutospacing="1"/>
        <w:outlineLvl w:val="3"/>
        <w:rPr>
          <w:b/>
          <w:bCs/>
          <w:color w:val="000000"/>
        </w:rPr>
      </w:pPr>
      <w:r w:rsidRPr="00657C3B">
        <w:rPr>
          <w:b/>
          <w:bCs/>
          <w:color w:val="000000"/>
          <w:rtl/>
        </w:rPr>
        <w:t>التمويل والضرائب في الأعمال الدولية</w:t>
      </w:r>
    </w:p>
    <w:p w:rsidR="00657C3B" w:rsidRPr="00657C3B" w:rsidRDefault="00657C3B" w:rsidP="00657C3B">
      <w:pPr>
        <w:numPr>
          <w:ilvl w:val="0"/>
          <w:numId w:val="14"/>
        </w:numPr>
        <w:bidi/>
        <w:spacing w:before="100" w:beforeAutospacing="1" w:after="100" w:afterAutospacing="1"/>
        <w:rPr>
          <w:color w:val="000000"/>
        </w:rPr>
      </w:pPr>
      <w:r w:rsidRPr="00657C3B">
        <w:rPr>
          <w:b/>
          <w:bCs/>
          <w:color w:val="000000"/>
          <w:rtl/>
        </w:rPr>
        <w:t>أسواق الصرف الأجنبي</w:t>
      </w:r>
      <w:r w:rsidRPr="00657C3B">
        <w:rPr>
          <w:color w:val="000000"/>
        </w:rPr>
        <w:t xml:space="preserve">: </w:t>
      </w:r>
      <w:r w:rsidRPr="00657C3B">
        <w:rPr>
          <w:color w:val="000000"/>
          <w:rtl/>
        </w:rPr>
        <w:t>كيفية التعامل مع تقلبات العملات وأسعار الصرف</w:t>
      </w:r>
      <w:r w:rsidRPr="00657C3B">
        <w:rPr>
          <w:color w:val="000000"/>
        </w:rPr>
        <w:t>.</w:t>
      </w:r>
    </w:p>
    <w:p w:rsidR="00657C3B" w:rsidRPr="00657C3B" w:rsidRDefault="00657C3B" w:rsidP="00657C3B">
      <w:pPr>
        <w:numPr>
          <w:ilvl w:val="0"/>
          <w:numId w:val="14"/>
        </w:numPr>
        <w:bidi/>
        <w:spacing w:before="100" w:beforeAutospacing="1" w:after="100" w:afterAutospacing="1"/>
        <w:rPr>
          <w:color w:val="000000"/>
        </w:rPr>
      </w:pPr>
      <w:r w:rsidRPr="00657C3B">
        <w:rPr>
          <w:b/>
          <w:bCs/>
          <w:color w:val="000000"/>
          <w:rtl/>
        </w:rPr>
        <w:t>الإدارة المالية الدولية</w:t>
      </w:r>
      <w:r w:rsidRPr="00657C3B">
        <w:rPr>
          <w:color w:val="000000"/>
        </w:rPr>
        <w:t xml:space="preserve">: </w:t>
      </w:r>
      <w:r w:rsidRPr="00657C3B">
        <w:rPr>
          <w:color w:val="000000"/>
          <w:rtl/>
        </w:rPr>
        <w:t>استراتيجيات تمويل الأعمال الدولية ومخاطر العملات</w:t>
      </w:r>
      <w:r w:rsidRPr="00657C3B">
        <w:rPr>
          <w:color w:val="000000"/>
        </w:rPr>
        <w:t>.</w:t>
      </w:r>
    </w:p>
    <w:p w:rsidR="00657C3B" w:rsidRPr="00657C3B" w:rsidRDefault="00657C3B" w:rsidP="00657C3B">
      <w:pPr>
        <w:numPr>
          <w:ilvl w:val="0"/>
          <w:numId w:val="14"/>
        </w:numPr>
        <w:bidi/>
        <w:spacing w:before="100" w:beforeAutospacing="1" w:after="100" w:afterAutospacing="1"/>
        <w:rPr>
          <w:color w:val="000000"/>
        </w:rPr>
      </w:pPr>
      <w:r w:rsidRPr="00657C3B">
        <w:rPr>
          <w:b/>
          <w:bCs/>
          <w:color w:val="000000"/>
          <w:rtl/>
        </w:rPr>
        <w:t>النظم الضريبية الدولية</w:t>
      </w:r>
      <w:r w:rsidRPr="00657C3B">
        <w:rPr>
          <w:color w:val="000000"/>
        </w:rPr>
        <w:t xml:space="preserve">: </w:t>
      </w:r>
      <w:r w:rsidRPr="00657C3B">
        <w:rPr>
          <w:color w:val="000000"/>
          <w:rtl/>
        </w:rPr>
        <w:t>قوانين الضرائب الدولية، المعاهدات الضريبية، والدوافع الضريبية للاستثمار في الأسواق الأجنبية</w:t>
      </w:r>
      <w:r w:rsidRPr="00657C3B">
        <w:rPr>
          <w:color w:val="000000"/>
        </w:rPr>
        <w:t>.</w:t>
      </w:r>
    </w:p>
    <w:p w:rsidR="00657C3B" w:rsidRPr="00657C3B" w:rsidRDefault="00657C3B" w:rsidP="00657C3B">
      <w:pPr>
        <w:pStyle w:val="Paragraphedeliste"/>
        <w:numPr>
          <w:ilvl w:val="0"/>
          <w:numId w:val="22"/>
        </w:numPr>
        <w:bidi/>
        <w:spacing w:before="100" w:beforeAutospacing="1" w:after="100" w:afterAutospacing="1"/>
        <w:outlineLvl w:val="3"/>
        <w:rPr>
          <w:b/>
          <w:bCs/>
          <w:color w:val="000000"/>
        </w:rPr>
      </w:pPr>
      <w:r w:rsidRPr="00657C3B">
        <w:rPr>
          <w:b/>
          <w:bCs/>
          <w:color w:val="000000"/>
          <w:rtl/>
        </w:rPr>
        <w:t>استراتيجيات دخول الأسواق الدولية</w:t>
      </w:r>
    </w:p>
    <w:p w:rsidR="00657C3B" w:rsidRPr="00657C3B" w:rsidRDefault="00657C3B" w:rsidP="005A1B9A">
      <w:pPr>
        <w:numPr>
          <w:ilvl w:val="0"/>
          <w:numId w:val="16"/>
        </w:numPr>
        <w:bidi/>
        <w:spacing w:before="100" w:beforeAutospacing="1" w:after="100" w:afterAutospacing="1"/>
        <w:rPr>
          <w:color w:val="000000"/>
        </w:rPr>
      </w:pPr>
      <w:r w:rsidRPr="00657C3B">
        <w:rPr>
          <w:b/>
          <w:bCs/>
          <w:color w:val="000000"/>
          <w:rtl/>
        </w:rPr>
        <w:t>طرق دخول الأسواق الأجنبية</w:t>
      </w:r>
      <w:r w:rsidRPr="00657C3B">
        <w:rPr>
          <w:color w:val="000000"/>
        </w:rPr>
        <w:t>:</w:t>
      </w:r>
      <w:r w:rsidRPr="00657C3B">
        <w:rPr>
          <w:color w:val="000000"/>
          <w:rtl/>
        </w:rPr>
        <w:t>التصدير، الشراكات الاستراتيجية، والاستثمار الأجنبي المباشر</w:t>
      </w:r>
      <w:r w:rsidRPr="00657C3B">
        <w:rPr>
          <w:color w:val="000000"/>
        </w:rPr>
        <w:t>.</w:t>
      </w:r>
    </w:p>
    <w:p w:rsidR="00657C3B" w:rsidRPr="00657C3B" w:rsidRDefault="00657C3B" w:rsidP="00657C3B">
      <w:pPr>
        <w:numPr>
          <w:ilvl w:val="0"/>
          <w:numId w:val="16"/>
        </w:numPr>
        <w:bidi/>
        <w:spacing w:before="100" w:beforeAutospacing="1" w:after="100" w:afterAutospacing="1"/>
        <w:rPr>
          <w:color w:val="000000"/>
        </w:rPr>
      </w:pPr>
      <w:r w:rsidRPr="00657C3B">
        <w:rPr>
          <w:b/>
          <w:bCs/>
          <w:color w:val="000000"/>
          <w:rtl/>
        </w:rPr>
        <w:t>استراتيجيات التسويق العالمي</w:t>
      </w:r>
      <w:r w:rsidRPr="00657C3B">
        <w:rPr>
          <w:color w:val="000000"/>
        </w:rPr>
        <w:t xml:space="preserve">: </w:t>
      </w:r>
      <w:r w:rsidRPr="00657C3B">
        <w:rPr>
          <w:color w:val="000000"/>
          <w:rtl/>
        </w:rPr>
        <w:t>تحليل الفروقات الثقافية وتأثيرها على استراتيجيات التسويق</w:t>
      </w:r>
      <w:r w:rsidRPr="00657C3B">
        <w:rPr>
          <w:color w:val="000000"/>
        </w:rPr>
        <w:t>.</w:t>
      </w:r>
    </w:p>
    <w:p w:rsidR="00657C3B" w:rsidRPr="00657C3B" w:rsidRDefault="00657C3B" w:rsidP="00657C3B">
      <w:pPr>
        <w:numPr>
          <w:ilvl w:val="0"/>
          <w:numId w:val="16"/>
        </w:numPr>
        <w:bidi/>
        <w:spacing w:before="100" w:beforeAutospacing="1" w:after="100" w:afterAutospacing="1"/>
        <w:rPr>
          <w:color w:val="000000"/>
        </w:rPr>
      </w:pPr>
      <w:r w:rsidRPr="00657C3B">
        <w:rPr>
          <w:b/>
          <w:bCs/>
          <w:color w:val="000000"/>
          <w:rtl/>
        </w:rPr>
        <w:t>تحليل الأسواق الدولية</w:t>
      </w:r>
      <w:r w:rsidRPr="00657C3B">
        <w:rPr>
          <w:color w:val="000000"/>
        </w:rPr>
        <w:t xml:space="preserve">: </w:t>
      </w:r>
      <w:r w:rsidRPr="00657C3B">
        <w:rPr>
          <w:color w:val="000000"/>
          <w:rtl/>
        </w:rPr>
        <w:t>دراسة بحوث السوق الدولي ومتطلبات التكيف الثقافي</w:t>
      </w:r>
      <w:r w:rsidRPr="00657C3B">
        <w:rPr>
          <w:color w:val="000000"/>
        </w:rPr>
        <w:t>.</w:t>
      </w:r>
    </w:p>
    <w:p w:rsidR="0059564E" w:rsidRDefault="0059564E" w:rsidP="00C667D1">
      <w:pPr>
        <w:pStyle w:val="Paragraphedeliste"/>
        <w:bidi/>
        <w:spacing w:before="100" w:beforeAutospacing="1" w:after="100" w:afterAutospacing="1"/>
        <w:outlineLvl w:val="3"/>
      </w:pPr>
    </w:p>
    <w:sectPr w:rsidR="0059564E" w:rsidSect="003333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BA4" w:rsidRDefault="00B67BA4" w:rsidP="00657C3B">
      <w:r>
        <w:separator/>
      </w:r>
    </w:p>
  </w:endnote>
  <w:endnote w:type="continuationSeparator" w:id="1">
    <w:p w:rsidR="00B67BA4" w:rsidRDefault="00B67BA4" w:rsidP="00657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BA4" w:rsidRDefault="00B67BA4" w:rsidP="00657C3B">
      <w:r>
        <w:separator/>
      </w:r>
    </w:p>
  </w:footnote>
  <w:footnote w:type="continuationSeparator" w:id="1">
    <w:p w:rsidR="00B67BA4" w:rsidRDefault="00B67BA4" w:rsidP="00657C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56B"/>
    <w:multiLevelType w:val="multilevel"/>
    <w:tmpl w:val="2064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A2E0E"/>
    <w:multiLevelType w:val="multilevel"/>
    <w:tmpl w:val="FAF2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2453D"/>
    <w:multiLevelType w:val="multilevel"/>
    <w:tmpl w:val="E9D8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25E95"/>
    <w:multiLevelType w:val="multilevel"/>
    <w:tmpl w:val="7A48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995596"/>
    <w:multiLevelType w:val="hybridMultilevel"/>
    <w:tmpl w:val="91445844"/>
    <w:lvl w:ilvl="0" w:tplc="2F08C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331BC"/>
    <w:multiLevelType w:val="multilevel"/>
    <w:tmpl w:val="5240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922DB8"/>
    <w:multiLevelType w:val="multilevel"/>
    <w:tmpl w:val="3C20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8056A8"/>
    <w:multiLevelType w:val="multilevel"/>
    <w:tmpl w:val="4580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B37A12"/>
    <w:multiLevelType w:val="multilevel"/>
    <w:tmpl w:val="A36A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AC4915"/>
    <w:multiLevelType w:val="multilevel"/>
    <w:tmpl w:val="D25A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D56CD2"/>
    <w:multiLevelType w:val="multilevel"/>
    <w:tmpl w:val="0276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A864A5"/>
    <w:multiLevelType w:val="hybridMultilevel"/>
    <w:tmpl w:val="B43259C2"/>
    <w:lvl w:ilvl="0" w:tplc="61C2B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055E3"/>
    <w:multiLevelType w:val="multilevel"/>
    <w:tmpl w:val="3DBC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013F69"/>
    <w:multiLevelType w:val="multilevel"/>
    <w:tmpl w:val="AFDE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FC7976"/>
    <w:multiLevelType w:val="multilevel"/>
    <w:tmpl w:val="EE00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3208DB"/>
    <w:multiLevelType w:val="multilevel"/>
    <w:tmpl w:val="DFA4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9C5B81"/>
    <w:multiLevelType w:val="multilevel"/>
    <w:tmpl w:val="677E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7A1B36"/>
    <w:multiLevelType w:val="multilevel"/>
    <w:tmpl w:val="269A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B5163D"/>
    <w:multiLevelType w:val="hybridMultilevel"/>
    <w:tmpl w:val="6AC224D8"/>
    <w:lvl w:ilvl="0" w:tplc="B86CA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96E59"/>
    <w:multiLevelType w:val="multilevel"/>
    <w:tmpl w:val="5C30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0771A5"/>
    <w:multiLevelType w:val="multilevel"/>
    <w:tmpl w:val="47C6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804A18"/>
    <w:multiLevelType w:val="multilevel"/>
    <w:tmpl w:val="8E7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16"/>
  </w:num>
  <w:num w:numId="4">
    <w:abstractNumId w:val="6"/>
  </w:num>
  <w:num w:numId="5">
    <w:abstractNumId w:val="21"/>
  </w:num>
  <w:num w:numId="6">
    <w:abstractNumId w:val="10"/>
  </w:num>
  <w:num w:numId="7">
    <w:abstractNumId w:val="19"/>
  </w:num>
  <w:num w:numId="8">
    <w:abstractNumId w:val="2"/>
  </w:num>
  <w:num w:numId="9">
    <w:abstractNumId w:val="11"/>
  </w:num>
  <w:num w:numId="10">
    <w:abstractNumId w:val="18"/>
  </w:num>
  <w:num w:numId="11">
    <w:abstractNumId w:val="1"/>
  </w:num>
  <w:num w:numId="12">
    <w:abstractNumId w:val="15"/>
  </w:num>
  <w:num w:numId="13">
    <w:abstractNumId w:val="9"/>
  </w:num>
  <w:num w:numId="14">
    <w:abstractNumId w:val="7"/>
  </w:num>
  <w:num w:numId="15">
    <w:abstractNumId w:val="0"/>
  </w:num>
  <w:num w:numId="16">
    <w:abstractNumId w:val="5"/>
  </w:num>
  <w:num w:numId="17">
    <w:abstractNumId w:val="17"/>
  </w:num>
  <w:num w:numId="18">
    <w:abstractNumId w:val="13"/>
  </w:num>
  <w:num w:numId="19">
    <w:abstractNumId w:val="12"/>
  </w:num>
  <w:num w:numId="20">
    <w:abstractNumId w:val="8"/>
  </w:num>
  <w:num w:numId="21">
    <w:abstractNumId w:val="2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E68"/>
    <w:rsid w:val="001C1244"/>
    <w:rsid w:val="002D163D"/>
    <w:rsid w:val="003333DE"/>
    <w:rsid w:val="0059564E"/>
    <w:rsid w:val="005A1B9A"/>
    <w:rsid w:val="00657C3B"/>
    <w:rsid w:val="0066319F"/>
    <w:rsid w:val="006C7B37"/>
    <w:rsid w:val="007049D9"/>
    <w:rsid w:val="009B7B52"/>
    <w:rsid w:val="009D6E68"/>
    <w:rsid w:val="00A8179F"/>
    <w:rsid w:val="00B67BA4"/>
    <w:rsid w:val="00BB6770"/>
    <w:rsid w:val="00BE28B7"/>
    <w:rsid w:val="00C667D1"/>
    <w:rsid w:val="00DE197C"/>
    <w:rsid w:val="00E23D95"/>
    <w:rsid w:val="00F56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C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9B7B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B7B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B7B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B7B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B7B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B7B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B7B5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B7B5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7B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9B7B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B7B5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9B7B5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B7B5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B7B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9B7B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9B7B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9B7B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B7B52"/>
    <w:rPr>
      <w:i/>
      <w:iCs/>
      <w:color w:val="1F497D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B7B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B7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7B5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9B7B52"/>
    <w:rPr>
      <w:color w:val="5A5A5A" w:themeColor="text1" w:themeTint="A5"/>
      <w:spacing w:val="15"/>
    </w:rPr>
  </w:style>
  <w:style w:type="character" w:styleId="lev">
    <w:name w:val="Strong"/>
    <w:basedOn w:val="Policepardfaut"/>
    <w:uiPriority w:val="22"/>
    <w:qFormat/>
    <w:rsid w:val="009B7B52"/>
    <w:rPr>
      <w:b/>
      <w:bCs/>
    </w:rPr>
  </w:style>
  <w:style w:type="character" w:styleId="Accentuation">
    <w:name w:val="Emphasis"/>
    <w:uiPriority w:val="20"/>
    <w:qFormat/>
    <w:rsid w:val="009B7B52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9B7B52"/>
  </w:style>
  <w:style w:type="paragraph" w:styleId="Paragraphedeliste">
    <w:name w:val="List Paragraph"/>
    <w:basedOn w:val="Normal"/>
    <w:uiPriority w:val="34"/>
    <w:qFormat/>
    <w:rsid w:val="009B7B5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B7B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B7B52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7B5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B7B52"/>
    <w:rPr>
      <w:i/>
      <w:iCs/>
      <w:color w:val="4F81BD" w:themeColor="accent1"/>
    </w:rPr>
  </w:style>
  <w:style w:type="character" w:styleId="Emphaseple">
    <w:name w:val="Subtle Emphasis"/>
    <w:uiPriority w:val="19"/>
    <w:qFormat/>
    <w:rsid w:val="009B7B52"/>
    <w:rPr>
      <w:i/>
      <w:iCs/>
      <w:color w:val="404040" w:themeColor="text1" w:themeTint="BF"/>
    </w:rPr>
  </w:style>
  <w:style w:type="character" w:styleId="Emphaseintense">
    <w:name w:val="Intense Emphasis"/>
    <w:uiPriority w:val="21"/>
    <w:qFormat/>
    <w:rsid w:val="009B7B52"/>
    <w:rPr>
      <w:i/>
      <w:iCs/>
      <w:color w:val="4F81BD" w:themeColor="accent1"/>
    </w:rPr>
  </w:style>
  <w:style w:type="character" w:styleId="Rfrenceple">
    <w:name w:val="Subtle Reference"/>
    <w:uiPriority w:val="31"/>
    <w:qFormat/>
    <w:rsid w:val="009B7B52"/>
    <w:rPr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9B7B52"/>
    <w:rPr>
      <w:b/>
      <w:bCs/>
      <w:smallCaps/>
      <w:color w:val="4F81BD" w:themeColor="accent1"/>
      <w:spacing w:val="5"/>
    </w:rPr>
  </w:style>
  <w:style w:type="character" w:styleId="Titredulivre">
    <w:name w:val="Book Title"/>
    <w:basedOn w:val="Policepardfaut"/>
    <w:uiPriority w:val="33"/>
    <w:qFormat/>
    <w:rsid w:val="009B7B52"/>
    <w:rPr>
      <w:b/>
      <w:bCs/>
      <w:i/>
      <w:iC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B7B52"/>
    <w:pPr>
      <w:outlineLvl w:val="9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B7B52"/>
  </w:style>
  <w:style w:type="character" w:customStyle="1" w:styleId="apple-converted-space">
    <w:name w:val="apple-converted-space"/>
    <w:basedOn w:val="Policepardfaut"/>
    <w:rsid w:val="009D6E68"/>
  </w:style>
  <w:style w:type="paragraph" w:styleId="NormalWeb">
    <w:name w:val="Normal (Web)"/>
    <w:basedOn w:val="Normal"/>
    <w:uiPriority w:val="99"/>
    <w:semiHidden/>
    <w:unhideWhenUsed/>
    <w:rsid w:val="009D6E68"/>
    <w:pPr>
      <w:spacing w:before="100" w:beforeAutospacing="1" w:after="100" w:afterAutospacing="1"/>
    </w:pPr>
  </w:style>
  <w:style w:type="character" w:customStyle="1" w:styleId="overflow-hidden">
    <w:name w:val="overflow-hidden"/>
    <w:basedOn w:val="Policepardfaut"/>
    <w:rsid w:val="009D6E68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9D6E6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9D6E68"/>
    <w:rPr>
      <w:rFonts w:ascii="Arial" w:eastAsia="Times New Roman" w:hAnsi="Arial" w:cs="Arial"/>
      <w:vanish/>
      <w:kern w:val="0"/>
      <w:sz w:val="16"/>
      <w:szCs w:val="16"/>
      <w:lang w:eastAsia="fr-CA"/>
    </w:rPr>
  </w:style>
  <w:style w:type="paragraph" w:customStyle="1" w:styleId="placeholder">
    <w:name w:val="placeholder"/>
    <w:basedOn w:val="Normal"/>
    <w:rsid w:val="009D6E68"/>
    <w:pPr>
      <w:spacing w:before="100" w:beforeAutospacing="1" w:after="100" w:afterAutospacing="1"/>
    </w:p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9D6E6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9D6E68"/>
    <w:rPr>
      <w:rFonts w:ascii="Arial" w:eastAsia="Times New Roman" w:hAnsi="Arial" w:cs="Arial"/>
      <w:vanish/>
      <w:kern w:val="0"/>
      <w:sz w:val="16"/>
      <w:szCs w:val="16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657C3B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657C3B"/>
    <w:rPr>
      <w:rFonts w:ascii="Times New Roman" w:eastAsia="Times New Roman" w:hAnsi="Times New Roman" w:cs="Times New Roman"/>
      <w:kern w:val="0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657C3B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7C3B"/>
    <w:rPr>
      <w:rFonts w:ascii="Times New Roman" w:eastAsia="Times New Roman" w:hAnsi="Times New Roman" w:cs="Times New Roman"/>
      <w:kern w:val="0"/>
      <w:sz w:val="24"/>
      <w:szCs w:val="24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7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7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73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43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1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6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085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44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426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1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579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445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8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4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7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60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13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10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4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6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8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guechariuniv2016@gmail.com</dc:creator>
  <cp:keywords/>
  <dc:description/>
  <cp:lastModifiedBy>Utilisateur Windows</cp:lastModifiedBy>
  <cp:revision>2</cp:revision>
  <dcterms:created xsi:type="dcterms:W3CDTF">2024-10-08T13:01:00Z</dcterms:created>
  <dcterms:modified xsi:type="dcterms:W3CDTF">2025-01-05T22:09:00Z</dcterms:modified>
</cp:coreProperties>
</file>