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A9" w:rsidRDefault="00142D63" w:rsidP="00142D63">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الأستاذ محمّد بودية                       </w:t>
      </w:r>
      <w:r w:rsidRPr="00142D63">
        <w:rPr>
          <w:rFonts w:ascii="Simplified Arabic" w:hAnsi="Simplified Arabic" w:cs="Simplified Arabic" w:hint="cs"/>
          <w:b/>
          <w:bCs/>
          <w:sz w:val="32"/>
          <w:szCs w:val="32"/>
          <w:rtl/>
          <w:lang w:bidi="ar-DZ"/>
        </w:rPr>
        <w:t xml:space="preserve">محاضرات في اللّسانيات التّوليدية </w:t>
      </w:r>
    </w:p>
    <w:p w:rsidR="00142D63" w:rsidRDefault="00142D63" w:rsidP="00142D63">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قسم الآداب واللّغة العربية</w:t>
      </w:r>
    </w:p>
    <w:p w:rsidR="00142D63" w:rsidRDefault="00142D63" w:rsidP="00142D63">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كلّية الآداب واللّغات</w:t>
      </w:r>
    </w:p>
    <w:p w:rsidR="00142D63" w:rsidRDefault="00142D63" w:rsidP="00142D63">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جامعة محمّد خيضر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بسكرة </w:t>
      </w:r>
      <w:r>
        <w:rPr>
          <w:rFonts w:ascii="Simplified Arabic" w:hAnsi="Simplified Arabic" w:cs="Simplified Arabic"/>
          <w:sz w:val="32"/>
          <w:szCs w:val="32"/>
          <w:rtl/>
          <w:lang w:bidi="ar-DZ"/>
        </w:rPr>
        <w:t>–</w:t>
      </w:r>
    </w:p>
    <w:p w:rsidR="00A12C5E" w:rsidRDefault="00A12C5E" w:rsidP="00142D63">
      <w:pPr>
        <w:spacing w:after="0"/>
        <w:jc w:val="right"/>
        <w:rPr>
          <w:rFonts w:ascii="Simplified Arabic" w:hAnsi="Simplified Arabic" w:cs="Simplified Arabic"/>
          <w:sz w:val="32"/>
          <w:szCs w:val="32"/>
          <w:rtl/>
          <w:lang w:bidi="ar-DZ"/>
        </w:rPr>
      </w:pPr>
    </w:p>
    <w:p w:rsidR="00142D63" w:rsidRDefault="00142D63" w:rsidP="00142D63">
      <w:pPr>
        <w:spacing w:after="0"/>
        <w:jc w:val="right"/>
        <w:rPr>
          <w:rFonts w:ascii="Simplified Arabic" w:hAnsi="Simplified Arabic" w:cs="Simplified Arabic" w:hint="cs"/>
          <w:b/>
          <w:bCs/>
          <w:sz w:val="32"/>
          <w:szCs w:val="32"/>
          <w:rtl/>
          <w:lang w:bidi="ar-DZ"/>
        </w:rPr>
      </w:pPr>
      <w:r>
        <w:rPr>
          <w:rFonts w:ascii="Simplified Arabic" w:hAnsi="Simplified Arabic" w:cs="Simplified Arabic" w:hint="cs"/>
          <w:sz w:val="32"/>
          <w:szCs w:val="32"/>
          <w:rtl/>
          <w:lang w:bidi="ar-DZ"/>
        </w:rPr>
        <w:t>المحا</w:t>
      </w:r>
      <w:bookmarkStart w:id="0" w:name="_GoBack"/>
      <w:bookmarkEnd w:id="0"/>
      <w:r>
        <w:rPr>
          <w:rFonts w:ascii="Simplified Arabic" w:hAnsi="Simplified Arabic" w:cs="Simplified Arabic" w:hint="cs"/>
          <w:sz w:val="32"/>
          <w:szCs w:val="32"/>
          <w:rtl/>
          <w:lang w:bidi="ar-DZ"/>
        </w:rPr>
        <w:t>ضرة الخامسة:</w:t>
      </w:r>
      <w:r w:rsidRPr="00142D63">
        <w:rPr>
          <w:rFonts w:ascii="Simplified Arabic" w:hAnsi="Simplified Arabic" w:cs="Simplified Arabic" w:hint="cs"/>
          <w:b/>
          <w:bCs/>
          <w:sz w:val="32"/>
          <w:szCs w:val="32"/>
          <w:rtl/>
          <w:lang w:bidi="ar-DZ"/>
        </w:rPr>
        <w:t xml:space="preserve"> ال</w:t>
      </w:r>
      <w:r w:rsidR="00D6279C">
        <w:rPr>
          <w:rFonts w:ascii="Simplified Arabic" w:hAnsi="Simplified Arabic" w:cs="Simplified Arabic" w:hint="cs"/>
          <w:b/>
          <w:bCs/>
          <w:sz w:val="32"/>
          <w:szCs w:val="32"/>
          <w:rtl/>
          <w:lang w:bidi="ar-DZ"/>
        </w:rPr>
        <w:t xml:space="preserve">جملة الأصولية ( القواعدية ) والجملة غير الأصولية ( غير القواعدية ) </w:t>
      </w:r>
    </w:p>
    <w:p w:rsidR="00FC7B41" w:rsidRDefault="00FC7B41" w:rsidP="00142D63">
      <w:pPr>
        <w:spacing w:after="0"/>
        <w:jc w:val="right"/>
        <w:rPr>
          <w:rFonts w:ascii="Simplified Arabic" w:hAnsi="Simplified Arabic" w:cs="Simplified Arabic"/>
          <w:b/>
          <w:bCs/>
          <w:sz w:val="32"/>
          <w:szCs w:val="32"/>
          <w:rtl/>
          <w:lang w:bidi="ar-DZ"/>
        </w:rPr>
      </w:pPr>
    </w:p>
    <w:p w:rsidR="00E90884" w:rsidRDefault="00FC7B41" w:rsidP="00F313B8">
      <w:pPr>
        <w:spacing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1325E" w:rsidRPr="0011325E">
        <w:rPr>
          <w:rFonts w:ascii="Simplified Arabic" w:hAnsi="Simplified Arabic" w:cs="Simplified Arabic" w:hint="cs"/>
          <w:sz w:val="32"/>
          <w:szCs w:val="32"/>
          <w:rtl/>
          <w:lang w:bidi="ar-DZ"/>
        </w:rPr>
        <w:t xml:space="preserve"> يُميّز النّحو التّوليدي التّحويلي بين نوعين من التّراكيب أو الجمل </w:t>
      </w:r>
      <w:r w:rsidR="00E90884">
        <w:rPr>
          <w:rFonts w:ascii="Simplified Arabic" w:hAnsi="Simplified Arabic" w:cs="Simplified Arabic" w:hint="cs"/>
          <w:sz w:val="32"/>
          <w:szCs w:val="32"/>
          <w:rtl/>
          <w:lang w:bidi="ar-DZ"/>
        </w:rPr>
        <w:t>؛ الجمل الأصولية أو القواعدية كما يتُرجمها بعض الباحثين ، والجمل غير الأصولية أو غير القواعدية فإذا كان التّركيب أو الجملة ؛ هو تتابع من المورفيمات أو الوحدات الصّرفية فلا يعني أنّ كلّ تتابع من الوحدات الصّرفية يُعطينا جملة مفيدة أو تركيبا صحيحا</w:t>
      </w:r>
      <w:r w:rsidR="00363CC9">
        <w:rPr>
          <w:rFonts w:ascii="Simplified Arabic" w:hAnsi="Simplified Arabic" w:cs="Simplified Arabic" w:hint="cs"/>
          <w:sz w:val="32"/>
          <w:szCs w:val="32"/>
          <w:rtl/>
          <w:lang w:bidi="ar-DZ"/>
        </w:rPr>
        <w:t>.</w:t>
      </w:r>
      <w:r w:rsidR="00E90884">
        <w:rPr>
          <w:rFonts w:ascii="Simplified Arabic" w:hAnsi="Simplified Arabic" w:cs="Simplified Arabic" w:hint="cs"/>
          <w:sz w:val="32"/>
          <w:szCs w:val="32"/>
          <w:rtl/>
          <w:lang w:bidi="ar-DZ"/>
        </w:rPr>
        <w:t xml:space="preserve"> ومعيار</w:t>
      </w:r>
      <w:r w:rsidR="00363CC9">
        <w:rPr>
          <w:rFonts w:ascii="Simplified Arabic" w:hAnsi="Simplified Arabic" w:cs="Simplified Arabic" w:hint="cs"/>
          <w:sz w:val="32"/>
          <w:szCs w:val="32"/>
          <w:rtl/>
          <w:lang w:bidi="ar-DZ"/>
        </w:rPr>
        <w:t>ُ</w:t>
      </w:r>
      <w:r w:rsidR="00E90884">
        <w:rPr>
          <w:rFonts w:ascii="Simplified Arabic" w:hAnsi="Simplified Arabic" w:cs="Simplified Arabic" w:hint="cs"/>
          <w:sz w:val="32"/>
          <w:szCs w:val="32"/>
          <w:rtl/>
          <w:lang w:bidi="ar-DZ"/>
        </w:rPr>
        <w:t xml:space="preserve"> صحّتها أو خطئها هو مطابقتها للقواعد النّحوية أو التّركيبية.</w:t>
      </w:r>
      <w:r w:rsidR="009A76CD">
        <w:rPr>
          <w:rFonts w:ascii="Simplified Arabic" w:hAnsi="Simplified Arabic" w:cs="Simplified Arabic" w:hint="cs"/>
          <w:sz w:val="32"/>
          <w:szCs w:val="32"/>
          <w:rtl/>
          <w:lang w:bidi="ar-DZ"/>
        </w:rPr>
        <w:t xml:space="preserve">      </w:t>
      </w:r>
    </w:p>
    <w:p w:rsidR="00E90884" w:rsidRDefault="00363CC9" w:rsidP="00E90884">
      <w:pPr>
        <w:spacing w:after="0"/>
        <w:jc w:val="right"/>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فلو قلنا مثلاً: ساف</w:t>
      </w:r>
      <w:r w:rsidR="00F313B8">
        <w:rPr>
          <w:rFonts w:ascii="Simplified Arabic" w:hAnsi="Simplified Arabic" w:cs="Simplified Arabic" w:hint="cs"/>
          <w:sz w:val="32"/>
          <w:szCs w:val="32"/>
          <w:rtl/>
          <w:lang w:bidi="ar-DZ"/>
        </w:rPr>
        <w:t>رت العاصمة من خالد إلى الحافلة</w:t>
      </w:r>
    </w:p>
    <w:p w:rsidR="00363CC9" w:rsidRDefault="00363CC9" w:rsidP="00E90884">
      <w:pPr>
        <w:spacing w:after="0"/>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فهذه الجملة تُوصف بأنّها غير أصولية أو غير قواعدية ؛ لأنّها لاتخضع إلى قاعدة الملاءمة بين الفعل والفاعل ، والحرف الجرّ والاسم المجرور.</w:t>
      </w:r>
    </w:p>
    <w:p w:rsidR="00C934EB" w:rsidRDefault="00FC7B41" w:rsidP="00FC7B41">
      <w:pPr>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ويرى </w:t>
      </w:r>
      <w:r w:rsidRPr="00FC7B41">
        <w:rPr>
          <w:rFonts w:ascii="Simplified Arabic" w:hAnsi="Simplified Arabic" w:cs="Simplified Arabic" w:hint="cs"/>
          <w:b/>
          <w:bCs/>
          <w:sz w:val="32"/>
          <w:szCs w:val="32"/>
          <w:rtl/>
          <w:lang w:bidi="ar-DZ"/>
        </w:rPr>
        <w:t>ميشال</w:t>
      </w:r>
      <w:r>
        <w:rPr>
          <w:rFonts w:ascii="Simplified Arabic" w:hAnsi="Simplified Arabic" w:cs="Simplified Arabic" w:hint="cs"/>
          <w:sz w:val="32"/>
          <w:szCs w:val="32"/>
          <w:rtl/>
          <w:lang w:bidi="ar-DZ"/>
        </w:rPr>
        <w:t xml:space="preserve"> </w:t>
      </w:r>
      <w:r w:rsidRPr="00FC7B41">
        <w:rPr>
          <w:rFonts w:ascii="Simplified Arabic" w:hAnsi="Simplified Arabic" w:cs="Simplified Arabic" w:hint="cs"/>
          <w:b/>
          <w:bCs/>
          <w:sz w:val="32"/>
          <w:szCs w:val="32"/>
          <w:rtl/>
          <w:lang w:bidi="ar-DZ"/>
        </w:rPr>
        <w:t>زكّرياء</w:t>
      </w:r>
      <w:r>
        <w:rPr>
          <w:rFonts w:ascii="Simplified Arabic" w:hAnsi="Simplified Arabic" w:cs="Simplified Arabic" w:hint="cs"/>
          <w:sz w:val="32"/>
          <w:szCs w:val="32"/>
          <w:rtl/>
          <w:lang w:bidi="ar-DZ"/>
        </w:rPr>
        <w:t xml:space="preserve">  أ</w:t>
      </w:r>
      <w:r w:rsidR="00C934EB">
        <w:rPr>
          <w:rFonts w:ascii="Simplified Arabic" w:hAnsi="Simplified Arabic" w:cs="Simplified Arabic" w:hint="cs"/>
          <w:sz w:val="32"/>
          <w:szCs w:val="32"/>
          <w:rtl/>
          <w:lang w:bidi="ar-DZ"/>
        </w:rPr>
        <w:t>نّ الجملة</w:t>
      </w:r>
      <w:r>
        <w:rPr>
          <w:rFonts w:ascii="Simplified Arabic" w:hAnsi="Simplified Arabic" w:cs="Simplified Arabic" w:hint="cs"/>
          <w:sz w:val="32"/>
          <w:szCs w:val="32"/>
          <w:rtl/>
          <w:lang w:bidi="ar-DZ"/>
        </w:rPr>
        <w:t xml:space="preserve"> تكون"</w:t>
      </w:r>
      <w:r w:rsidR="00C934EB">
        <w:rPr>
          <w:rFonts w:ascii="Simplified Arabic" w:hAnsi="Simplified Arabic" w:cs="Simplified Arabic" w:hint="cs"/>
          <w:sz w:val="32"/>
          <w:szCs w:val="32"/>
          <w:rtl/>
          <w:lang w:bidi="ar-DZ"/>
        </w:rPr>
        <w:t xml:space="preserve"> أصولية في لغة معيّنة إذا كانت مركّبة على نحو جيّد. وهي غير أصولية إذا انحرفت عن المبادئ التي تُحدّد الأصولية في هذه اللّغة أي القواعد الضّمنية التي تقود عملية التكلّم والذي يُطبّقها متكلّم اللّغة بصورة لاشعورية .</w:t>
      </w:r>
      <w:r>
        <w:rPr>
          <w:rFonts w:ascii="Simplified Arabic" w:hAnsi="Simplified Arabic" w:cs="Simplified Arabic" w:hint="cs"/>
          <w:sz w:val="32"/>
          <w:szCs w:val="32"/>
          <w:rtl/>
          <w:lang w:bidi="ar-DZ"/>
        </w:rPr>
        <w:t xml:space="preserve">                                                                      </w:t>
      </w:r>
    </w:p>
    <w:p w:rsidR="00803548" w:rsidRDefault="00C934EB" w:rsidP="00FC7B41">
      <w:pPr>
        <w:spacing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إنّ الجملة لكي نعتبرها أصولية ، يجب ألاّ تنحرف بالنّسبة لأيّة قاعدة من القواعد التي تُعين توافق العناصر </w:t>
      </w:r>
      <w:r w:rsidR="000672EE">
        <w:rPr>
          <w:rFonts w:ascii="Simplified Arabic" w:hAnsi="Simplified Arabic" w:cs="Simplified Arabic" w:hint="cs"/>
          <w:sz w:val="32"/>
          <w:szCs w:val="32"/>
          <w:rtl/>
          <w:lang w:bidi="ar-DZ"/>
        </w:rPr>
        <w:t>اللّغوية في مستويات اللّغة الثلاثة : ال</w:t>
      </w:r>
      <w:r w:rsidR="00FC7B41">
        <w:rPr>
          <w:rFonts w:ascii="Simplified Arabic" w:hAnsi="Simplified Arabic" w:cs="Simplified Arabic" w:hint="cs"/>
          <w:sz w:val="32"/>
          <w:szCs w:val="32"/>
          <w:rtl/>
          <w:lang w:bidi="ar-DZ"/>
        </w:rPr>
        <w:t>م</w:t>
      </w:r>
      <w:r w:rsidR="000672EE">
        <w:rPr>
          <w:rFonts w:ascii="Simplified Arabic" w:hAnsi="Simplified Arabic" w:cs="Simplified Arabic" w:hint="cs"/>
          <w:sz w:val="32"/>
          <w:szCs w:val="32"/>
          <w:rtl/>
          <w:lang w:bidi="ar-DZ"/>
        </w:rPr>
        <w:t>ستوى الصّوتي والمس</w:t>
      </w:r>
      <w:r w:rsidR="00FC7B41">
        <w:rPr>
          <w:rFonts w:ascii="Simplified Arabic" w:hAnsi="Simplified Arabic" w:cs="Simplified Arabic" w:hint="cs"/>
          <w:sz w:val="32"/>
          <w:szCs w:val="32"/>
          <w:rtl/>
          <w:lang w:bidi="ar-DZ"/>
        </w:rPr>
        <w:t>توى التّركيبي والمستوى الدّلالي</w:t>
      </w:r>
      <w:r w:rsidR="000672EE">
        <w:rPr>
          <w:rFonts w:ascii="Simplified Arabic" w:hAnsi="Simplified Arabic" w:cs="Simplified Arabic" w:hint="cs"/>
          <w:sz w:val="32"/>
          <w:szCs w:val="32"/>
          <w:rtl/>
          <w:lang w:bidi="ar-DZ"/>
        </w:rPr>
        <w:t>"</w:t>
      </w:r>
      <w:r w:rsidR="00FC7B41">
        <w:rPr>
          <w:rFonts w:ascii="Simplified Arabic" w:hAnsi="Simplified Arabic" w:cs="Simplified Arabic" w:hint="cs"/>
          <w:sz w:val="32"/>
          <w:szCs w:val="32"/>
          <w:rtl/>
          <w:lang w:bidi="ar-DZ"/>
        </w:rPr>
        <w:t xml:space="preserve"> </w:t>
      </w:r>
      <w:r w:rsidR="00FC7B41">
        <w:rPr>
          <w:rStyle w:val="Appelnotedebasdep"/>
          <w:rFonts w:ascii="Simplified Arabic" w:hAnsi="Simplified Arabic" w:cs="Simplified Arabic"/>
          <w:sz w:val="32"/>
          <w:szCs w:val="32"/>
          <w:rtl/>
          <w:lang w:bidi="ar-DZ"/>
        </w:rPr>
        <w:footnoteReference w:id="2"/>
      </w:r>
      <w:r w:rsidR="00803548">
        <w:rPr>
          <w:rFonts w:ascii="Simplified Arabic" w:hAnsi="Simplified Arabic" w:cs="Simplified Arabic" w:hint="cs"/>
          <w:sz w:val="32"/>
          <w:szCs w:val="32"/>
          <w:rtl/>
          <w:lang w:bidi="ar-DZ"/>
        </w:rPr>
        <w:t xml:space="preserve">                                           </w:t>
      </w:r>
    </w:p>
    <w:p w:rsidR="00803548" w:rsidRDefault="00803548" w:rsidP="00803548">
      <w:pPr>
        <w:spacing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والجملة قد تكون أصولية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صحيحة صوتيا وتركيبيا ودلاليا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ولكنّها ليست صحيحة معرفيا ؛ أي ليست مطابقة للواقع أو للعالم الخارجي . وعدم مطابقتها للواقع أو للعالم الخارجي لاينفي صحّتها أو أصوليتها .                                   </w:t>
      </w:r>
    </w:p>
    <w:p w:rsidR="00803548" w:rsidRDefault="00803548" w:rsidP="00803548">
      <w:pPr>
        <w:spacing w:after="0"/>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قلو قال شخص ما : الإنجيل معجزة الرّسول محمّد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صلّى اللّه عليه وسلّم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أو القرآن معجزة عيسى عليه السّلام .</w:t>
      </w:r>
    </w:p>
    <w:p w:rsidR="00803548" w:rsidRDefault="002C1FA6" w:rsidP="00803548">
      <w:pPr>
        <w:spacing w:after="0"/>
        <w:jc w:val="right"/>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لكانت الجملتان أصوليتي</w:t>
      </w:r>
      <w:r w:rsidR="00803548">
        <w:rPr>
          <w:rFonts w:ascii="Simplified Arabic" w:hAnsi="Simplified Arabic" w:cs="Simplified Arabic" w:hint="cs"/>
          <w:sz w:val="32"/>
          <w:szCs w:val="32"/>
          <w:rtl/>
          <w:lang w:bidi="ar-DZ"/>
        </w:rPr>
        <w:t>ن بالرّغم من عدّم مطابقتهما الواقع أو من عدّم صحّتهما معرفيا .</w:t>
      </w:r>
      <w:r w:rsidR="00803548">
        <w:rPr>
          <w:rStyle w:val="Appelnotedebasdep"/>
          <w:rFonts w:ascii="Simplified Arabic" w:hAnsi="Simplified Arabic" w:cs="Simplified Arabic"/>
          <w:sz w:val="32"/>
          <w:szCs w:val="32"/>
          <w:rtl/>
          <w:lang w:bidi="ar-DZ"/>
        </w:rPr>
        <w:footnoteReference w:id="3"/>
      </w:r>
    </w:p>
    <w:p w:rsidR="00C934EB" w:rsidRPr="0011325E" w:rsidRDefault="00C934EB" w:rsidP="00803548">
      <w:pPr>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إنّ التّمييز بين الأصولية وبين معرفة متكلّم اللّغة بالعالم المحيط به أمر طبيعي في إطار القواعد التّوليدية والتّحويلية إذ إنّ هذه القواعد تُحلّل كفاية المتكلّم اللّغوية أي معرفته بلغته ، ولاتُحلّل بالتّالي معرفته بالعالم المحيط به "</w:t>
      </w:r>
      <w:r w:rsidR="002C1FA6">
        <w:rPr>
          <w:rStyle w:val="Appelnotedebasdep"/>
          <w:rFonts w:ascii="Simplified Arabic" w:hAnsi="Simplified Arabic" w:cs="Simplified Arabic"/>
          <w:sz w:val="32"/>
          <w:szCs w:val="32"/>
          <w:rtl/>
          <w:lang w:bidi="ar-DZ"/>
        </w:rPr>
        <w:footnoteReference w:id="4"/>
      </w:r>
      <w:r w:rsidR="00803548">
        <w:rPr>
          <w:rFonts w:ascii="Simplified Arabic" w:hAnsi="Simplified Arabic" w:cs="Simplified Arabic" w:hint="cs"/>
          <w:sz w:val="32"/>
          <w:szCs w:val="32"/>
          <w:rtl/>
          <w:lang w:bidi="ar-DZ"/>
        </w:rPr>
        <w:t xml:space="preserve">                         </w:t>
      </w:r>
    </w:p>
    <w:p w:rsidR="00D6279C" w:rsidRPr="00D6279C" w:rsidRDefault="00D6279C" w:rsidP="0045026F">
      <w:pPr>
        <w:spacing w:after="0"/>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يقول تشومسكي " </w:t>
      </w:r>
      <w:r>
        <w:rPr>
          <w:rFonts w:ascii="Simplified Arabic" w:hAnsi="Simplified Arabic" w:cs="Simplified Arabic" w:hint="cs"/>
          <w:sz w:val="32"/>
          <w:szCs w:val="32"/>
          <w:rtl/>
          <w:lang w:bidi="ar-DZ"/>
        </w:rPr>
        <w:t>لايجب أن نخلط بين مفهوم " قبول الجملة " وبين مفهوم أصولية الجملة . فمفهوم قبول الجملة عائد إلى مجال دراسة الأداء الكلامي في حين أنّ مفهوم أصولية الجملة يرتدّ إلى مجال دراسة الكفاية اللّغوية . فالأصولية هي عامل من بين عوامل مت</w:t>
      </w:r>
      <w:r w:rsidR="0045026F">
        <w:rPr>
          <w:rFonts w:ascii="Simplified Arabic" w:hAnsi="Simplified Arabic" w:cs="Simplified Arabic" w:hint="cs"/>
          <w:sz w:val="32"/>
          <w:szCs w:val="32"/>
          <w:rtl/>
          <w:lang w:bidi="ar-DZ"/>
        </w:rPr>
        <w:t>عدّدة تترابط لتحديد قبول الجملة</w:t>
      </w:r>
      <w:r>
        <w:rPr>
          <w:rFonts w:ascii="Simplified Arabic" w:hAnsi="Simplified Arabic" w:cs="Simplified Arabic" w:hint="cs"/>
          <w:sz w:val="32"/>
          <w:szCs w:val="32"/>
          <w:rtl/>
          <w:lang w:bidi="ar-DZ"/>
        </w:rPr>
        <w:t>"</w:t>
      </w:r>
      <w:r w:rsidR="0045026F">
        <w:rPr>
          <w:rStyle w:val="Appelnotedebasdep"/>
          <w:rFonts w:ascii="Simplified Arabic" w:hAnsi="Simplified Arabic" w:cs="Simplified Arabic"/>
          <w:sz w:val="32"/>
          <w:szCs w:val="32"/>
          <w:rtl/>
          <w:lang w:bidi="ar-DZ"/>
        </w:rPr>
        <w:footnoteReference w:id="5"/>
      </w:r>
      <w:r w:rsidR="0045026F">
        <w:rPr>
          <w:rFonts w:ascii="Simplified Arabic" w:hAnsi="Simplified Arabic" w:cs="Simplified Arabic" w:hint="cs"/>
          <w:sz w:val="32"/>
          <w:szCs w:val="32"/>
          <w:rtl/>
          <w:lang w:bidi="ar-DZ"/>
        </w:rPr>
        <w:t xml:space="preserve">                                </w:t>
      </w:r>
    </w:p>
    <w:sectPr w:rsidR="00D6279C" w:rsidRPr="00D6279C" w:rsidSect="00FC7B41">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54" w:rsidRDefault="00FF0354" w:rsidP="0045026F">
      <w:pPr>
        <w:spacing w:after="0" w:line="240" w:lineRule="auto"/>
      </w:pPr>
      <w:r>
        <w:separator/>
      </w:r>
    </w:p>
  </w:endnote>
  <w:endnote w:type="continuationSeparator" w:id="1">
    <w:p w:rsidR="00FF0354" w:rsidRDefault="00FF0354" w:rsidP="00450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54" w:rsidRDefault="00FF0354" w:rsidP="0045026F">
      <w:pPr>
        <w:spacing w:after="0" w:line="240" w:lineRule="auto"/>
      </w:pPr>
      <w:r>
        <w:separator/>
      </w:r>
    </w:p>
  </w:footnote>
  <w:footnote w:type="continuationSeparator" w:id="1">
    <w:p w:rsidR="00FF0354" w:rsidRDefault="00FF0354" w:rsidP="0045026F">
      <w:pPr>
        <w:spacing w:after="0" w:line="240" w:lineRule="auto"/>
      </w:pPr>
      <w:r>
        <w:continuationSeparator/>
      </w:r>
    </w:p>
  </w:footnote>
  <w:footnote w:id="2">
    <w:p w:rsidR="00FC7B41" w:rsidRPr="00F313B8" w:rsidRDefault="00F313B8">
      <w:pPr>
        <w:pStyle w:val="Notedebasdepage"/>
        <w:rPr>
          <w:rFonts w:hint="cs"/>
          <w:sz w:val="28"/>
          <w:szCs w:val="28"/>
          <w:rtl/>
          <w:lang w:bidi="ar-DZ"/>
        </w:rPr>
      </w:pPr>
      <w:r w:rsidRPr="00F313B8">
        <w:rPr>
          <w:rFonts w:hint="cs"/>
          <w:sz w:val="28"/>
          <w:szCs w:val="28"/>
          <w:rtl/>
          <w:lang w:bidi="ar-DZ"/>
        </w:rPr>
        <w:t>الألسنية التّوليدية التّح</w:t>
      </w:r>
      <w:r w:rsidR="00803548">
        <w:rPr>
          <w:rFonts w:hint="cs"/>
          <w:sz w:val="28"/>
          <w:szCs w:val="28"/>
          <w:rtl/>
          <w:lang w:bidi="ar-DZ"/>
        </w:rPr>
        <w:t>ويلية وقواعد اللّغة العربية ، ص</w:t>
      </w:r>
      <w:r w:rsidR="00AB04CE">
        <w:rPr>
          <w:rFonts w:hint="cs"/>
          <w:sz w:val="28"/>
          <w:szCs w:val="28"/>
          <w:rtl/>
          <w:lang w:bidi="ar-DZ"/>
        </w:rPr>
        <w:t xml:space="preserve"> </w:t>
      </w:r>
      <w:r w:rsidR="00803548">
        <w:rPr>
          <w:rFonts w:hint="cs"/>
          <w:sz w:val="28"/>
          <w:szCs w:val="28"/>
          <w:rtl/>
          <w:lang w:bidi="ar-DZ"/>
        </w:rPr>
        <w:t xml:space="preserve"> </w:t>
      </w:r>
      <w:r w:rsidR="00FD0247">
        <w:rPr>
          <w:rFonts w:hint="cs"/>
          <w:sz w:val="28"/>
          <w:szCs w:val="28"/>
          <w:rtl/>
          <w:lang w:bidi="ar-DZ"/>
        </w:rPr>
        <w:t>108</w:t>
      </w:r>
      <w:r w:rsidR="00803548">
        <w:rPr>
          <w:rFonts w:hint="cs"/>
          <w:sz w:val="28"/>
          <w:szCs w:val="28"/>
          <w:rtl/>
          <w:lang w:bidi="ar-DZ"/>
        </w:rPr>
        <w:t xml:space="preserve">            </w:t>
      </w:r>
      <w:r w:rsidRPr="00F313B8">
        <w:rPr>
          <w:sz w:val="28"/>
          <w:szCs w:val="28"/>
          <w:lang w:bidi="ar-DZ"/>
        </w:rPr>
        <w:t xml:space="preserve"> </w:t>
      </w:r>
      <w:r w:rsidRPr="00F313B8">
        <w:rPr>
          <w:rFonts w:hint="cs"/>
          <w:sz w:val="28"/>
          <w:szCs w:val="28"/>
          <w:lang w:bidi="ar-DZ"/>
        </w:rPr>
        <w:t xml:space="preserve">  </w:t>
      </w:r>
      <w:r w:rsidR="00FA3260">
        <w:rPr>
          <w:rFonts w:hint="cs"/>
          <w:sz w:val="28"/>
          <w:szCs w:val="28"/>
          <w:rtl/>
          <w:lang w:bidi="ar-DZ"/>
        </w:rPr>
        <w:t xml:space="preserve"> ،</w:t>
      </w:r>
      <w:r w:rsidRPr="00F313B8">
        <w:rPr>
          <w:rFonts w:hint="cs"/>
          <w:sz w:val="28"/>
          <w:szCs w:val="28"/>
          <w:lang w:bidi="ar-DZ"/>
        </w:rPr>
        <w:t xml:space="preserve">زكريّاء </w:t>
      </w:r>
      <w:r w:rsidR="00FC7B41" w:rsidRPr="00F313B8">
        <w:rPr>
          <w:rFonts w:hint="cs"/>
          <w:sz w:val="28"/>
          <w:szCs w:val="28"/>
          <w:lang w:bidi="ar-DZ"/>
        </w:rPr>
        <w:t xml:space="preserve"> ميشال - </w:t>
      </w:r>
      <w:r w:rsidR="00FC7B41" w:rsidRPr="00F313B8">
        <w:rPr>
          <w:rStyle w:val="Appelnotedebasdep"/>
          <w:sz w:val="28"/>
          <w:szCs w:val="28"/>
        </w:rPr>
        <w:footnoteRef/>
      </w:r>
      <w:r w:rsidR="00FC7B41" w:rsidRPr="00F313B8">
        <w:rPr>
          <w:sz w:val="28"/>
          <w:szCs w:val="28"/>
        </w:rPr>
        <w:t xml:space="preserve"> </w:t>
      </w:r>
    </w:p>
  </w:footnote>
  <w:footnote w:id="3">
    <w:p w:rsidR="00803548" w:rsidRPr="00FA3260" w:rsidRDefault="00803548">
      <w:pPr>
        <w:pStyle w:val="Notedebasdepage"/>
        <w:rPr>
          <w:rFonts w:hint="cs"/>
          <w:sz w:val="28"/>
          <w:szCs w:val="28"/>
          <w:rtl/>
          <w:lang w:bidi="ar-DZ"/>
        </w:rPr>
      </w:pPr>
      <w:r w:rsidRPr="00FA3260">
        <w:rPr>
          <w:rFonts w:hint="cs"/>
          <w:sz w:val="28"/>
          <w:szCs w:val="28"/>
          <w:rtl/>
          <w:lang w:bidi="ar-DZ"/>
        </w:rPr>
        <w:t xml:space="preserve"> يُنظر ، نعمان بوقرّة ، المدارس اللّسانية المعاصرة ، ص </w:t>
      </w:r>
      <w:r w:rsidR="00FA3260" w:rsidRPr="00FA3260">
        <w:rPr>
          <w:rFonts w:hint="cs"/>
          <w:sz w:val="28"/>
          <w:szCs w:val="28"/>
          <w:rtl/>
          <w:lang w:bidi="ar-DZ"/>
        </w:rPr>
        <w:t>155.</w:t>
      </w:r>
      <w:r w:rsidR="00AB04CE">
        <w:rPr>
          <w:rFonts w:hint="cs"/>
          <w:sz w:val="28"/>
          <w:szCs w:val="28"/>
          <w:rtl/>
          <w:lang w:bidi="ar-DZ"/>
        </w:rPr>
        <w:t xml:space="preserve"> </w:t>
      </w:r>
      <w:r w:rsidR="00FD0247">
        <w:rPr>
          <w:rFonts w:hint="cs"/>
          <w:sz w:val="28"/>
          <w:szCs w:val="28"/>
          <w:rtl/>
          <w:lang w:bidi="ar-DZ"/>
        </w:rPr>
        <w:t xml:space="preserve">      </w:t>
      </w:r>
      <w:r w:rsidR="00AB04CE">
        <w:rPr>
          <w:rFonts w:hint="cs"/>
          <w:sz w:val="28"/>
          <w:szCs w:val="28"/>
          <w:rtl/>
          <w:lang w:bidi="ar-DZ"/>
        </w:rPr>
        <w:t xml:space="preserve">  </w:t>
      </w:r>
      <w:r w:rsidR="00FA3260">
        <w:rPr>
          <w:rFonts w:hint="cs"/>
          <w:sz w:val="28"/>
          <w:szCs w:val="28"/>
          <w:rtl/>
          <w:lang w:bidi="ar-DZ"/>
        </w:rPr>
        <w:t xml:space="preserve">                       </w:t>
      </w:r>
      <w:r w:rsidRPr="00FA3260">
        <w:rPr>
          <w:sz w:val="28"/>
          <w:szCs w:val="28"/>
        </w:rPr>
        <w:t xml:space="preserve">- </w:t>
      </w:r>
      <w:r w:rsidRPr="00FA3260">
        <w:rPr>
          <w:rStyle w:val="Appelnotedebasdep"/>
          <w:sz w:val="28"/>
          <w:szCs w:val="28"/>
        </w:rPr>
        <w:footnoteRef/>
      </w:r>
      <w:r w:rsidRPr="00FA3260">
        <w:rPr>
          <w:sz w:val="28"/>
          <w:szCs w:val="28"/>
        </w:rPr>
        <w:t xml:space="preserve"> </w:t>
      </w:r>
    </w:p>
  </w:footnote>
  <w:footnote w:id="4">
    <w:p w:rsidR="002C1FA6" w:rsidRPr="00AB04CE" w:rsidRDefault="00AB04CE">
      <w:pPr>
        <w:pStyle w:val="Notedebasdepage"/>
        <w:rPr>
          <w:rFonts w:hint="cs"/>
          <w:sz w:val="28"/>
          <w:szCs w:val="28"/>
          <w:rtl/>
          <w:lang w:bidi="ar-DZ"/>
        </w:rPr>
      </w:pPr>
      <w:r w:rsidRPr="00AB04CE">
        <w:rPr>
          <w:rFonts w:hint="cs"/>
          <w:sz w:val="28"/>
          <w:szCs w:val="28"/>
          <w:rtl/>
          <w:lang w:bidi="ar-DZ"/>
        </w:rPr>
        <w:t xml:space="preserve"> - ميشال زكريّاء ، الأسنية التّوليدية وقواعد اللّغة العربية ، ص</w:t>
      </w:r>
      <w:r>
        <w:rPr>
          <w:rFonts w:hint="cs"/>
          <w:sz w:val="28"/>
          <w:szCs w:val="28"/>
          <w:rtl/>
          <w:lang w:bidi="ar-DZ"/>
        </w:rPr>
        <w:t xml:space="preserve">  </w:t>
      </w:r>
      <w:r w:rsidR="00FD0247">
        <w:rPr>
          <w:rFonts w:hint="cs"/>
          <w:sz w:val="28"/>
          <w:szCs w:val="28"/>
          <w:rtl/>
          <w:lang w:bidi="ar-DZ"/>
        </w:rPr>
        <w:t>112.</w:t>
      </w:r>
      <w:r>
        <w:rPr>
          <w:rFonts w:hint="cs"/>
          <w:sz w:val="28"/>
          <w:szCs w:val="28"/>
          <w:rtl/>
          <w:lang w:bidi="ar-DZ"/>
        </w:rPr>
        <w:t xml:space="preserve">                         </w:t>
      </w:r>
      <w:r w:rsidRPr="00AB04CE">
        <w:rPr>
          <w:rFonts w:hint="cs"/>
          <w:sz w:val="28"/>
          <w:szCs w:val="28"/>
          <w:rtl/>
          <w:lang w:bidi="ar-DZ"/>
        </w:rPr>
        <w:t xml:space="preserve"> </w:t>
      </w:r>
      <w:r w:rsidR="002C1FA6" w:rsidRPr="00AB04CE">
        <w:rPr>
          <w:rStyle w:val="Appelnotedebasdep"/>
          <w:sz w:val="28"/>
          <w:szCs w:val="28"/>
        </w:rPr>
        <w:footnoteRef/>
      </w:r>
      <w:r w:rsidR="002C1FA6" w:rsidRPr="00AB04CE">
        <w:rPr>
          <w:sz w:val="28"/>
          <w:szCs w:val="28"/>
        </w:rPr>
        <w:t xml:space="preserve"> </w:t>
      </w:r>
    </w:p>
  </w:footnote>
  <w:footnote w:id="5">
    <w:p w:rsidR="0045026F" w:rsidRPr="0045026F" w:rsidRDefault="00AB04CE">
      <w:pPr>
        <w:pStyle w:val="Notedebasdepage"/>
        <w:rPr>
          <w:sz w:val="28"/>
          <w:szCs w:val="28"/>
          <w:rtl/>
          <w:lang w:bidi="ar-DZ"/>
        </w:rPr>
      </w:pPr>
      <w:r>
        <w:rPr>
          <w:sz w:val="28"/>
          <w:szCs w:val="28"/>
          <w:lang w:bidi="ar-DZ"/>
        </w:rPr>
        <w:t xml:space="preserve">  </w:t>
      </w:r>
      <w:r>
        <w:rPr>
          <w:rFonts w:hint="cs"/>
          <w:sz w:val="28"/>
          <w:szCs w:val="28"/>
          <w:rtl/>
          <w:lang w:bidi="ar-DZ"/>
        </w:rPr>
        <w:t xml:space="preserve">المرجع نفسه ، ص  </w:t>
      </w:r>
      <w:r w:rsidR="00FD0247">
        <w:rPr>
          <w:rFonts w:hint="cs"/>
          <w:sz w:val="28"/>
          <w:szCs w:val="28"/>
          <w:rtl/>
          <w:lang w:bidi="ar-DZ"/>
        </w:rPr>
        <w:t xml:space="preserve">113.            </w:t>
      </w:r>
      <w:r>
        <w:rPr>
          <w:rFonts w:hint="cs"/>
          <w:sz w:val="28"/>
          <w:szCs w:val="28"/>
          <w:rtl/>
          <w:lang w:bidi="ar-DZ"/>
        </w:rPr>
        <w:t xml:space="preserve">                                                           </w:t>
      </w:r>
      <w:r>
        <w:rPr>
          <w:rFonts w:hint="cs"/>
          <w:sz w:val="28"/>
          <w:szCs w:val="28"/>
          <w:lang w:bidi="ar-DZ"/>
        </w:rPr>
        <w:t xml:space="preserve"> </w:t>
      </w:r>
      <w:r w:rsidR="0045026F">
        <w:rPr>
          <w:sz w:val="28"/>
          <w:szCs w:val="28"/>
        </w:rPr>
        <w:t xml:space="preserve">- </w:t>
      </w:r>
      <w:r w:rsidR="0045026F" w:rsidRPr="0045026F">
        <w:rPr>
          <w:rStyle w:val="Appelnotedebasdep"/>
          <w:sz w:val="28"/>
          <w:szCs w:val="28"/>
        </w:rPr>
        <w:footnoteRef/>
      </w:r>
      <w:r w:rsidR="0045026F" w:rsidRPr="0045026F">
        <w:rPr>
          <w:sz w:val="28"/>
          <w:szCs w:val="28"/>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42D63"/>
    <w:rsid w:val="000672EE"/>
    <w:rsid w:val="0011325E"/>
    <w:rsid w:val="00142D63"/>
    <w:rsid w:val="001D11AC"/>
    <w:rsid w:val="002C1FA6"/>
    <w:rsid w:val="00363CC9"/>
    <w:rsid w:val="0045026F"/>
    <w:rsid w:val="005B7A05"/>
    <w:rsid w:val="00691EF0"/>
    <w:rsid w:val="007D2749"/>
    <w:rsid w:val="00803548"/>
    <w:rsid w:val="00900E5E"/>
    <w:rsid w:val="009A76CD"/>
    <w:rsid w:val="00A12C5E"/>
    <w:rsid w:val="00AA1688"/>
    <w:rsid w:val="00AB04CE"/>
    <w:rsid w:val="00BA294A"/>
    <w:rsid w:val="00C30B7F"/>
    <w:rsid w:val="00C934EB"/>
    <w:rsid w:val="00D30204"/>
    <w:rsid w:val="00D54F24"/>
    <w:rsid w:val="00D6279C"/>
    <w:rsid w:val="00E90884"/>
    <w:rsid w:val="00F26AE6"/>
    <w:rsid w:val="00F313B8"/>
    <w:rsid w:val="00F554A9"/>
    <w:rsid w:val="00FA3260"/>
    <w:rsid w:val="00FC7B41"/>
    <w:rsid w:val="00FD0247"/>
    <w:rsid w:val="00FF03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5026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026F"/>
    <w:rPr>
      <w:sz w:val="20"/>
      <w:szCs w:val="20"/>
    </w:rPr>
  </w:style>
  <w:style w:type="character" w:styleId="Appelnotedebasdep">
    <w:name w:val="footnote reference"/>
    <w:basedOn w:val="Policepardfaut"/>
    <w:uiPriority w:val="99"/>
    <w:semiHidden/>
    <w:unhideWhenUsed/>
    <w:rsid w:val="0045026F"/>
    <w:rPr>
      <w:vertAlign w:val="superscript"/>
    </w:rPr>
  </w:style>
  <w:style w:type="paragraph" w:styleId="En-tte">
    <w:name w:val="header"/>
    <w:basedOn w:val="Normal"/>
    <w:link w:val="En-tteCar"/>
    <w:uiPriority w:val="99"/>
    <w:semiHidden/>
    <w:unhideWhenUsed/>
    <w:rsid w:val="00FD024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FD0247"/>
  </w:style>
  <w:style w:type="paragraph" w:styleId="Pieddepage">
    <w:name w:val="footer"/>
    <w:basedOn w:val="Normal"/>
    <w:link w:val="PieddepageCar"/>
    <w:uiPriority w:val="99"/>
    <w:semiHidden/>
    <w:unhideWhenUsed/>
    <w:rsid w:val="00FD0247"/>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FD02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0872-35C9-45AD-BE3B-A8FAC86F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353</Words>
  <Characters>2014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Opérateur</dc:creator>
  <cp:lastModifiedBy>Opérateur</cp:lastModifiedBy>
  <cp:revision>16</cp:revision>
  <dcterms:created xsi:type="dcterms:W3CDTF">2022-11-27T06:30:00Z</dcterms:created>
  <dcterms:modified xsi:type="dcterms:W3CDTF">2024-12-29T16:06:00Z</dcterms:modified>
</cp:coreProperties>
</file>