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5A" w:rsidRPr="008E663C" w:rsidRDefault="00D2165A" w:rsidP="00D2165A">
      <w:pPr>
        <w:tabs>
          <w:tab w:val="left" w:pos="3203"/>
        </w:tabs>
        <w:spacing w:after="0"/>
        <w:jc w:val="center"/>
        <w:rPr>
          <w:rFonts w:ascii="Sakkal Majalla" w:hAnsi="Sakkal Majalla" w:cs="Sakkal Majalla"/>
          <w:b/>
          <w:bCs/>
          <w:sz w:val="40"/>
          <w:szCs w:val="40"/>
          <w:rtl/>
        </w:rPr>
      </w:pPr>
      <w:r w:rsidRPr="008E663C">
        <w:rPr>
          <w:rFonts w:ascii="Sakkal Majalla" w:hAnsi="Sakkal Majalla" w:cs="Sakkal Majalla"/>
          <w:b/>
          <w:bCs/>
          <w:sz w:val="40"/>
          <w:szCs w:val="40"/>
          <w:rtl/>
        </w:rPr>
        <w:t>المحاضرة ال</w:t>
      </w:r>
      <w:r w:rsidR="0090252D">
        <w:rPr>
          <w:rFonts w:ascii="Sakkal Majalla" w:hAnsi="Sakkal Majalla" w:cs="Sakkal Majalla" w:hint="cs"/>
          <w:b/>
          <w:bCs/>
          <w:sz w:val="40"/>
          <w:szCs w:val="40"/>
          <w:rtl/>
        </w:rPr>
        <w:t>ثامنة</w:t>
      </w:r>
    </w:p>
    <w:p w:rsidR="00D2165A" w:rsidRDefault="00D2165A" w:rsidP="00D2165A">
      <w:pPr>
        <w:tabs>
          <w:tab w:val="left" w:pos="3203"/>
        </w:tabs>
        <w:spacing w:after="0"/>
        <w:jc w:val="center"/>
        <w:rPr>
          <w:rFonts w:ascii="Sakkal Majalla" w:hAnsi="Sakkal Majalla" w:cs="Sakkal Majalla"/>
          <w:b/>
          <w:bCs/>
          <w:sz w:val="40"/>
          <w:szCs w:val="40"/>
          <w:u w:val="single"/>
          <w:rtl/>
          <w:lang w:bidi="ar-DZ"/>
        </w:rPr>
      </w:pPr>
      <w:r w:rsidRPr="008E663C">
        <w:rPr>
          <w:rFonts w:ascii="Sakkal Majalla" w:hAnsi="Sakkal Majalla" w:cs="Sakkal Majalla" w:hint="cs"/>
          <w:b/>
          <w:bCs/>
          <w:sz w:val="40"/>
          <w:szCs w:val="40"/>
          <w:rtl/>
        </w:rPr>
        <w:t>نشأة البابوية وتطورها</w:t>
      </w:r>
      <w:r>
        <w:rPr>
          <w:rFonts w:ascii="Sakkal Majalla" w:hAnsi="Sakkal Majalla" w:cs="Sakkal Majalla" w:hint="cs"/>
          <w:b/>
          <w:bCs/>
          <w:sz w:val="40"/>
          <w:szCs w:val="40"/>
          <w:u w:val="single"/>
          <w:rtl/>
          <w:lang w:bidi="ar-DZ"/>
        </w:rPr>
        <w:t xml:space="preserve"> </w:t>
      </w:r>
    </w:p>
    <w:p w:rsidR="00D2165A" w:rsidRPr="00625A24" w:rsidRDefault="00D2165A" w:rsidP="00D2165A">
      <w:pPr>
        <w:tabs>
          <w:tab w:val="left" w:pos="3203"/>
        </w:tabs>
        <w:spacing w:after="0"/>
        <w:jc w:val="both"/>
        <w:rPr>
          <w:rFonts w:ascii="Simplified Arabic" w:hAnsi="Simplified Arabic" w:cs="Simplified Arabic"/>
          <w:b/>
          <w:bCs/>
          <w:color w:val="000000" w:themeColor="text1"/>
          <w:sz w:val="32"/>
          <w:szCs w:val="32"/>
          <w:rtl/>
          <w:lang w:val="fr-FR" w:bidi="ar-DZ"/>
        </w:rPr>
      </w:pPr>
      <w:r>
        <w:rPr>
          <w:rFonts w:ascii="Simplified Arabic" w:hAnsi="Simplified Arabic" w:cs="Simplified Arabic" w:hint="cs"/>
          <w:b/>
          <w:bCs/>
          <w:color w:val="000000" w:themeColor="text1"/>
          <w:sz w:val="32"/>
          <w:szCs w:val="32"/>
          <w:rtl/>
          <w:lang w:val="fr-FR" w:bidi="ar-DZ"/>
        </w:rPr>
        <w:t>-</w:t>
      </w:r>
      <w:r w:rsidRPr="00625A24">
        <w:rPr>
          <w:rFonts w:ascii="Simplified Arabic" w:hAnsi="Simplified Arabic" w:cs="Simplified Arabic" w:hint="cs"/>
          <w:b/>
          <w:bCs/>
          <w:color w:val="000000" w:themeColor="text1"/>
          <w:sz w:val="32"/>
          <w:szCs w:val="32"/>
          <w:rtl/>
          <w:lang w:val="fr-FR" w:bidi="ar-DZ"/>
        </w:rPr>
        <w:t>تأسيس الكنائس وتطور مكانة الأسقف:</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w:t>
      </w:r>
      <w:r w:rsidRPr="00F768C8">
        <w:rPr>
          <w:rFonts w:ascii="Simplified Arabic" w:hAnsi="Simplified Arabic" w:cs="Simplified Arabic" w:hint="cs"/>
          <w:color w:val="000000" w:themeColor="text1"/>
          <w:sz w:val="32"/>
          <w:szCs w:val="32"/>
          <w:rtl/>
          <w:lang w:val="fr-FR" w:bidi="ar-DZ"/>
        </w:rPr>
        <w:t>من الم</w:t>
      </w:r>
      <w:r>
        <w:rPr>
          <w:rFonts w:ascii="Simplified Arabic" w:hAnsi="Simplified Arabic" w:cs="Simplified Arabic" w:hint="cs"/>
          <w:color w:val="000000" w:themeColor="text1"/>
          <w:sz w:val="32"/>
          <w:szCs w:val="32"/>
          <w:rtl/>
          <w:lang w:val="fr-FR" w:bidi="ar-DZ"/>
        </w:rPr>
        <w:t>ُ</w:t>
      </w:r>
      <w:r w:rsidRPr="00F768C8">
        <w:rPr>
          <w:rFonts w:ascii="Simplified Arabic" w:hAnsi="Simplified Arabic" w:cs="Simplified Arabic" w:hint="cs"/>
          <w:color w:val="000000" w:themeColor="text1"/>
          <w:sz w:val="32"/>
          <w:szCs w:val="32"/>
          <w:rtl/>
          <w:lang w:val="fr-FR" w:bidi="ar-DZ"/>
        </w:rPr>
        <w:t>سل</w:t>
      </w:r>
      <w:r>
        <w:rPr>
          <w:rFonts w:ascii="Simplified Arabic" w:hAnsi="Simplified Arabic" w:cs="Simplified Arabic" w:hint="cs"/>
          <w:color w:val="000000" w:themeColor="text1"/>
          <w:sz w:val="32"/>
          <w:szCs w:val="32"/>
          <w:rtl/>
          <w:lang w:val="fr-FR" w:bidi="ar-DZ"/>
        </w:rPr>
        <w:t>ّ</w:t>
      </w:r>
      <w:r w:rsidRPr="00F768C8">
        <w:rPr>
          <w:rFonts w:ascii="Simplified Arabic" w:hAnsi="Simplified Arabic" w:cs="Simplified Arabic" w:hint="cs"/>
          <w:color w:val="000000" w:themeColor="text1"/>
          <w:sz w:val="32"/>
          <w:szCs w:val="32"/>
          <w:rtl/>
          <w:lang w:val="fr-FR" w:bidi="ar-DZ"/>
        </w:rPr>
        <w:t xml:space="preserve">م </w:t>
      </w:r>
      <w:r>
        <w:rPr>
          <w:rFonts w:ascii="Simplified Arabic" w:hAnsi="Simplified Arabic" w:cs="Simplified Arabic" w:hint="cs"/>
          <w:color w:val="000000" w:themeColor="text1"/>
          <w:sz w:val="32"/>
          <w:szCs w:val="32"/>
          <w:rtl/>
          <w:lang w:val="fr-FR" w:bidi="ar-DZ"/>
        </w:rPr>
        <w:t xml:space="preserve">به </w:t>
      </w:r>
      <w:r w:rsidRPr="00F768C8">
        <w:rPr>
          <w:rFonts w:ascii="Simplified Arabic" w:hAnsi="Simplified Arabic" w:cs="Simplified Arabic" w:hint="cs"/>
          <w:color w:val="000000" w:themeColor="text1"/>
          <w:sz w:val="32"/>
          <w:szCs w:val="32"/>
          <w:rtl/>
          <w:lang w:val="fr-FR" w:bidi="ar-DZ"/>
        </w:rPr>
        <w:t>أن الديانة يدعو إليها الأنبياء المرسلون</w:t>
      </w:r>
      <w:r>
        <w:rPr>
          <w:rFonts w:ascii="Simplified Arabic" w:hAnsi="Simplified Arabic" w:cs="Simplified Arabic" w:hint="cs"/>
          <w:color w:val="000000" w:themeColor="text1"/>
          <w:sz w:val="32"/>
          <w:szCs w:val="32"/>
          <w:rtl/>
          <w:lang w:val="fr-FR" w:bidi="ar-DZ"/>
        </w:rPr>
        <w:t>، بينما رجال الدين هم من يتولى تنظيمها مثل ما حدث في الديانة المسيحية، حيث تولى الرسل التبشير بها، وذلك يعد من أعمال الكنيسة، فأصبحوا يدعون إلى الدين في إقامتهم ورحلاتهم، فأنشأوا الكنائس وكونوا الجماعات المسيحية في مدن الإمبراطورية الرومانية، ومن خلال رسائل القديس بولس تظهر العلاقة جلية بين الكنائس ومؤسسيها، وبانقطاع التبشير في مستهل القرن الثاني الميلادي تأسست في العالم المسيحي كنائس محلية، يخضع كل منها لسلطة الأسقف الذي يدير شؤونها الدينية</w:t>
      </w:r>
      <w:r w:rsidRPr="006B0BF3">
        <w:rPr>
          <w:rFonts w:ascii="Simplified Arabic" w:hAnsi="Simplified Arabic" w:cs="Simplified Arabic" w:hint="cs"/>
          <w:b/>
          <w:bCs/>
          <w:color w:val="000000" w:themeColor="text1"/>
          <w:sz w:val="32"/>
          <w:szCs w:val="32"/>
          <w:vertAlign w:val="superscript"/>
          <w:rtl/>
          <w:lang w:val="fr-FR" w:bidi="ar-DZ"/>
        </w:rPr>
        <w:t>(</w:t>
      </w:r>
      <w:r w:rsidRPr="006B0BF3">
        <w:rPr>
          <w:rStyle w:val="a4"/>
          <w:rFonts w:ascii="Simplified Arabic" w:hAnsi="Simplified Arabic" w:cs="Simplified Arabic"/>
          <w:b/>
          <w:bCs/>
          <w:color w:val="000000" w:themeColor="text1"/>
          <w:sz w:val="32"/>
          <w:szCs w:val="32"/>
          <w:rtl/>
          <w:lang w:val="fr-FR" w:bidi="ar-DZ"/>
        </w:rPr>
        <w:footnoteReference w:id="2"/>
      </w:r>
      <w:r w:rsidRPr="006B0BF3">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bidi="ar-DZ"/>
        </w:rPr>
        <w:t xml:space="preserve">   ولم يكن ا</w:t>
      </w:r>
      <w:r w:rsidRPr="00C95C38">
        <w:rPr>
          <w:rFonts w:ascii="Simplified Arabic" w:hAnsi="Simplified Arabic" w:cs="Simplified Arabic" w:hint="cs"/>
          <w:color w:val="000000" w:themeColor="text1"/>
          <w:sz w:val="32"/>
          <w:szCs w:val="32"/>
          <w:rtl/>
          <w:lang w:val="fr-FR" w:bidi="ar-DZ"/>
        </w:rPr>
        <w:t xml:space="preserve">لإجراء الذي </w:t>
      </w:r>
      <w:r>
        <w:rPr>
          <w:rFonts w:ascii="Simplified Arabic" w:hAnsi="Simplified Arabic" w:cs="Simplified Arabic" w:hint="cs"/>
          <w:color w:val="000000" w:themeColor="text1"/>
          <w:sz w:val="32"/>
          <w:szCs w:val="32"/>
          <w:rtl/>
          <w:lang w:val="fr-FR" w:bidi="ar-DZ"/>
        </w:rPr>
        <w:t xml:space="preserve">قام به </w:t>
      </w:r>
      <w:r w:rsidRPr="00C95C38">
        <w:rPr>
          <w:rFonts w:ascii="Simplified Arabic" w:hAnsi="Simplified Arabic" w:cs="Simplified Arabic" w:hint="cs"/>
          <w:color w:val="000000" w:themeColor="text1"/>
          <w:sz w:val="32"/>
          <w:szCs w:val="32"/>
          <w:rtl/>
          <w:lang w:val="fr-FR" w:bidi="ar-DZ"/>
        </w:rPr>
        <w:t xml:space="preserve">الإمبراطور قسطنطين الكبير </w:t>
      </w:r>
      <w:r>
        <w:rPr>
          <w:rFonts w:ascii="Simplified Arabic" w:hAnsi="Simplified Arabic" w:cs="Simplified Arabic" w:hint="cs"/>
          <w:color w:val="000000" w:themeColor="text1"/>
          <w:sz w:val="32"/>
          <w:szCs w:val="32"/>
          <w:rtl/>
          <w:lang w:val="fr-FR" w:bidi="ar-DZ"/>
        </w:rPr>
        <w:t xml:space="preserve">(305-337م) وحيدا والذي بموجبه </w:t>
      </w:r>
      <w:r w:rsidRPr="00C95C38">
        <w:rPr>
          <w:rFonts w:ascii="Simplified Arabic" w:hAnsi="Simplified Arabic" w:cs="Simplified Arabic" w:hint="cs"/>
          <w:color w:val="000000" w:themeColor="text1"/>
          <w:sz w:val="32"/>
          <w:szCs w:val="32"/>
          <w:rtl/>
          <w:lang w:val="fr-FR" w:bidi="ar-DZ"/>
        </w:rPr>
        <w:t>منح الكنيسة المسيحية حرية العبادة الدينية في عام 313</w:t>
      </w:r>
      <w:r>
        <w:rPr>
          <w:rFonts w:ascii="Simplified Arabic" w:hAnsi="Simplified Arabic" w:cs="Simplified Arabic" w:hint="cs"/>
          <w:color w:val="000000" w:themeColor="text1"/>
          <w:sz w:val="32"/>
          <w:szCs w:val="32"/>
          <w:rtl/>
          <w:lang w:val="fr-FR" w:bidi="ar-DZ"/>
        </w:rPr>
        <w:t>م</w:t>
      </w:r>
      <w:r w:rsidRPr="00C95C38">
        <w:rPr>
          <w:rFonts w:ascii="Simplified Arabic" w:hAnsi="Simplified Arabic" w:cs="Simplified Arabic" w:hint="cs"/>
          <w:color w:val="000000" w:themeColor="text1"/>
          <w:sz w:val="32"/>
          <w:szCs w:val="32"/>
          <w:rtl/>
          <w:lang w:val="fr-FR" w:bidi="ar-DZ"/>
        </w:rPr>
        <w:t>، بل أ</w:t>
      </w:r>
      <w:r>
        <w:rPr>
          <w:rFonts w:ascii="Simplified Arabic" w:hAnsi="Simplified Arabic" w:cs="Simplified Arabic" w:hint="cs"/>
          <w:color w:val="000000" w:themeColor="text1"/>
          <w:sz w:val="32"/>
          <w:szCs w:val="32"/>
          <w:rtl/>
          <w:lang w:val="fr-FR" w:bidi="ar-DZ"/>
        </w:rPr>
        <w:t>صدر أيضا مرسوما به تتم إعادة الممتلكات</w:t>
      </w:r>
      <w:r w:rsidRPr="00C95C38">
        <w:rPr>
          <w:rFonts w:ascii="Simplified Arabic" w:hAnsi="Simplified Arabic" w:cs="Simplified Arabic" w:hint="cs"/>
          <w:color w:val="000000" w:themeColor="text1"/>
          <w:sz w:val="32"/>
          <w:szCs w:val="32"/>
          <w:rtl/>
          <w:lang w:val="fr-FR" w:bidi="ar-DZ"/>
        </w:rPr>
        <w:t xml:space="preserve"> ال</w:t>
      </w:r>
      <w:r>
        <w:rPr>
          <w:rFonts w:ascii="Simplified Arabic" w:hAnsi="Simplified Arabic" w:cs="Simplified Arabic" w:hint="cs"/>
          <w:color w:val="000000" w:themeColor="text1"/>
          <w:sz w:val="32"/>
          <w:szCs w:val="32"/>
          <w:rtl/>
          <w:lang w:val="fr-FR" w:bidi="ar-DZ"/>
        </w:rPr>
        <w:t>كنسية التي صودرت أثناء الاضطهاد، فقد كان لذلك بالضرورة آثارٌ</w:t>
      </w:r>
      <w:r w:rsidRPr="00C95C38">
        <w:rPr>
          <w:rFonts w:ascii="Simplified Arabic" w:hAnsi="Simplified Arabic" w:cs="Simplified Arabic" w:hint="cs"/>
          <w:color w:val="000000" w:themeColor="text1"/>
          <w:sz w:val="32"/>
          <w:szCs w:val="32"/>
          <w:rtl/>
          <w:lang w:val="fr-FR" w:bidi="ar-DZ"/>
        </w:rPr>
        <w:t xml:space="preserve"> بعيدة المدى</w:t>
      </w:r>
      <w:r>
        <w:rPr>
          <w:rFonts w:ascii="Simplified Arabic" w:hAnsi="Simplified Arabic" w:cs="Simplified Arabic" w:hint="cs"/>
          <w:color w:val="000000" w:themeColor="text1"/>
          <w:sz w:val="32"/>
          <w:szCs w:val="32"/>
          <w:rtl/>
          <w:lang w:val="fr-FR" w:bidi="ar-DZ"/>
        </w:rPr>
        <w:t xml:space="preserve"> لصالح</w:t>
      </w:r>
      <w:r w:rsidRPr="00C95C38">
        <w:rPr>
          <w:rFonts w:ascii="Simplified Arabic" w:hAnsi="Simplified Arabic" w:cs="Simplified Arabic" w:hint="cs"/>
          <w:color w:val="000000" w:themeColor="text1"/>
          <w:sz w:val="32"/>
          <w:szCs w:val="32"/>
          <w:rtl/>
          <w:lang w:val="fr-FR" w:bidi="ar-DZ"/>
        </w:rPr>
        <w:t xml:space="preserve"> الكنيسة المحلية في رو</w:t>
      </w:r>
      <w:r>
        <w:rPr>
          <w:rFonts w:ascii="Simplified Arabic" w:hAnsi="Simplified Arabic" w:cs="Simplified Arabic" w:hint="cs"/>
          <w:color w:val="000000" w:themeColor="text1"/>
          <w:sz w:val="32"/>
          <w:szCs w:val="32"/>
          <w:rtl/>
          <w:lang w:val="fr-FR" w:bidi="ar-DZ"/>
        </w:rPr>
        <w:t>ما</w:t>
      </w:r>
      <w:r w:rsidRPr="00C5711F">
        <w:rPr>
          <w:rFonts w:ascii="Simplified Arabic" w:hAnsi="Simplified Arabic" w:cs="Simplified Arabic" w:hint="cs"/>
          <w:b/>
          <w:bCs/>
          <w:color w:val="000000" w:themeColor="text1"/>
          <w:sz w:val="32"/>
          <w:szCs w:val="32"/>
          <w:vertAlign w:val="superscript"/>
          <w:rtl/>
          <w:lang w:val="fr-FR" w:bidi="ar-DZ"/>
        </w:rPr>
        <w:t>(</w:t>
      </w:r>
      <w:r w:rsidRPr="00C5711F">
        <w:rPr>
          <w:rStyle w:val="a4"/>
          <w:rFonts w:ascii="Simplified Arabic" w:hAnsi="Simplified Arabic" w:cs="Simplified Arabic"/>
          <w:b/>
          <w:bCs/>
          <w:color w:val="000000" w:themeColor="text1"/>
          <w:sz w:val="32"/>
          <w:szCs w:val="32"/>
          <w:rtl/>
          <w:lang w:val="fr-FR" w:bidi="ar-DZ"/>
        </w:rPr>
        <w:footnoteReference w:id="3"/>
      </w:r>
      <w:r w:rsidRPr="00C5711F">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 xml:space="preserve">   وبعد فقدان هذه الأخيرة(روما) لمكانتها السياسية، أصبح من البديهي أن يتولى الأسقف السلطة لأنه كان أكبر رجال الكنيسة الغربية مرتبة</w:t>
      </w:r>
      <w:r w:rsidRPr="00060425">
        <w:rPr>
          <w:rFonts w:ascii="Simplified Arabic" w:hAnsi="Simplified Arabic" w:cs="Simplified Arabic" w:hint="cs"/>
          <w:b/>
          <w:bCs/>
          <w:color w:val="000000" w:themeColor="text1"/>
          <w:sz w:val="32"/>
          <w:szCs w:val="32"/>
          <w:vertAlign w:val="superscript"/>
          <w:rtl/>
          <w:lang w:val="fr-FR"/>
        </w:rPr>
        <w:t>(</w:t>
      </w:r>
      <w:r w:rsidRPr="00060425">
        <w:rPr>
          <w:rStyle w:val="a4"/>
          <w:rFonts w:ascii="Simplified Arabic" w:hAnsi="Simplified Arabic" w:cs="Simplified Arabic"/>
          <w:b/>
          <w:bCs/>
          <w:color w:val="000000" w:themeColor="text1"/>
          <w:sz w:val="32"/>
          <w:szCs w:val="32"/>
          <w:rtl/>
          <w:lang w:val="fr-FR"/>
        </w:rPr>
        <w:footnoteReference w:id="4"/>
      </w:r>
      <w:r w:rsidRPr="00060425">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إذ وجدت الكنيسة في البابوية خير وسيلة في جمع شملها وتحقيق طموحها، وهكذا أصبح البابا رأس الكنيسة الغربية الكاثوليكية ومصدر ولايتها وحارسها الأول لقوانينها ونظمها وعقيدتها، الذي استمد سلطته من تعيين المسيح عليه السلام له مباشرة، فالبابا خليفة القديس بطرس في كرسيه الأسقفي بروما، وهذا </w:t>
      </w:r>
      <w:r>
        <w:rPr>
          <w:rFonts w:ascii="Simplified Arabic" w:hAnsi="Simplified Arabic" w:cs="Simplified Arabic" w:hint="cs"/>
          <w:color w:val="000000" w:themeColor="text1"/>
          <w:sz w:val="32"/>
          <w:szCs w:val="32"/>
          <w:rtl/>
          <w:lang w:val="fr-FR"/>
        </w:rPr>
        <w:lastRenderedPageBreak/>
        <w:t>الأخير (بطرس) زعيم الحواريين ومقدم الرسل الذي اتخذه المسيح أساسا بنى عليه كنيسته</w:t>
      </w:r>
      <w:r w:rsidRPr="00FD4318">
        <w:rPr>
          <w:rFonts w:ascii="Simplified Arabic" w:hAnsi="Simplified Arabic" w:cs="Simplified Arabic" w:hint="cs"/>
          <w:b/>
          <w:bCs/>
          <w:color w:val="000000" w:themeColor="text1"/>
          <w:sz w:val="32"/>
          <w:szCs w:val="32"/>
          <w:vertAlign w:val="superscript"/>
          <w:rtl/>
          <w:lang w:val="fr-FR"/>
        </w:rPr>
        <w:t>(</w:t>
      </w:r>
      <w:r w:rsidRPr="00FD4318">
        <w:rPr>
          <w:rStyle w:val="a4"/>
          <w:rFonts w:ascii="Simplified Arabic" w:hAnsi="Simplified Arabic" w:cs="Simplified Arabic"/>
          <w:b/>
          <w:bCs/>
          <w:color w:val="000000" w:themeColor="text1"/>
          <w:sz w:val="32"/>
          <w:szCs w:val="32"/>
          <w:rtl/>
          <w:lang w:val="fr-FR"/>
        </w:rPr>
        <w:footnoteReference w:id="5"/>
      </w:r>
      <w:r w:rsidRPr="00FD4318">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w:t>
      </w:r>
    </w:p>
    <w:p w:rsidR="00D2165A" w:rsidRPr="00AB556A" w:rsidRDefault="00D2165A" w:rsidP="00D2165A">
      <w:pPr>
        <w:tabs>
          <w:tab w:val="left" w:pos="3203"/>
        </w:tabs>
        <w:spacing w:after="0"/>
        <w:jc w:val="both"/>
        <w:rPr>
          <w:rFonts w:ascii="Simplified Arabic" w:hAnsi="Simplified Arabic" w:cs="Simplified Arabic"/>
          <w:b/>
          <w:bCs/>
          <w:color w:val="000000" w:themeColor="text1"/>
          <w:sz w:val="32"/>
          <w:szCs w:val="32"/>
          <w:rtl/>
          <w:lang w:val="fr-FR" w:bidi="ar-DZ"/>
        </w:rPr>
      </w:pPr>
      <w:r>
        <w:rPr>
          <w:rFonts w:ascii="Simplified Arabic" w:hAnsi="Simplified Arabic" w:cs="Simplified Arabic" w:hint="cs"/>
          <w:b/>
          <w:bCs/>
          <w:color w:val="000000" w:themeColor="text1"/>
          <w:sz w:val="32"/>
          <w:szCs w:val="32"/>
          <w:rtl/>
          <w:lang w:val="fr-FR" w:bidi="ar-DZ"/>
        </w:rPr>
        <w:t>-</w:t>
      </w:r>
      <w:r w:rsidRPr="00AB556A">
        <w:rPr>
          <w:rFonts w:ascii="Simplified Arabic" w:hAnsi="Simplified Arabic" w:cs="Simplified Arabic" w:hint="cs"/>
          <w:b/>
          <w:bCs/>
          <w:color w:val="000000" w:themeColor="text1"/>
          <w:sz w:val="32"/>
          <w:szCs w:val="32"/>
          <w:rtl/>
          <w:lang w:val="fr-FR" w:bidi="ar-DZ"/>
        </w:rPr>
        <w:t>ازدياد نفوذ الأساقفة بعد سقوط روما:</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hint="cs"/>
          <w:color w:val="000000" w:themeColor="text1"/>
          <w:sz w:val="32"/>
          <w:szCs w:val="32"/>
          <w:rtl/>
          <w:lang w:val="fr-FR"/>
        </w:rPr>
        <w:t>لقد ازداد مركز البابوات قوة ونفوذا على الغرب بعد انقطاع سلسلة الأباطرة سنة 476م</w:t>
      </w:r>
      <w:r w:rsidRPr="0045235F">
        <w:rPr>
          <w:rFonts w:ascii="Simplified Arabic" w:hAnsi="Simplified Arabic" w:cs="Simplified Arabic" w:hint="cs"/>
          <w:b/>
          <w:bCs/>
          <w:color w:val="000000" w:themeColor="text1"/>
          <w:sz w:val="32"/>
          <w:szCs w:val="32"/>
          <w:vertAlign w:val="superscript"/>
          <w:rtl/>
          <w:lang w:val="fr-FR"/>
        </w:rPr>
        <w:t>(</w:t>
      </w:r>
      <w:r w:rsidRPr="0045235F">
        <w:rPr>
          <w:rStyle w:val="a4"/>
          <w:rFonts w:ascii="Simplified Arabic" w:hAnsi="Simplified Arabic" w:cs="Simplified Arabic"/>
          <w:b/>
          <w:bCs/>
          <w:color w:val="000000" w:themeColor="text1"/>
          <w:sz w:val="32"/>
          <w:szCs w:val="32"/>
          <w:rtl/>
          <w:lang w:val="fr-FR"/>
        </w:rPr>
        <w:footnoteReference w:id="6"/>
      </w:r>
      <w:r w:rsidRPr="0045235F">
        <w:rPr>
          <w:rFonts w:ascii="Simplified Arabic" w:hAnsi="Simplified Arabic" w:cs="Simplified Arabic" w:hint="cs"/>
          <w:b/>
          <w:bCs/>
          <w:color w:val="000000" w:themeColor="text1"/>
          <w:sz w:val="32"/>
          <w:szCs w:val="32"/>
          <w:vertAlign w:val="superscript"/>
          <w:rtl/>
          <w:lang w:val="fr-FR"/>
        </w:rPr>
        <w:t>)</w:t>
      </w:r>
      <w:r w:rsidRPr="00B744B6">
        <w:rPr>
          <w:rFonts w:ascii="Simplified Arabic" w:hAnsi="Simplified Arabic" w:cs="Simplified Arabic" w:hint="cs"/>
          <w:color w:val="000000" w:themeColor="text1"/>
          <w:sz w:val="32"/>
          <w:szCs w:val="32"/>
          <w:rtl/>
          <w:lang w:val="fr-FR"/>
        </w:rPr>
        <w:t>،</w:t>
      </w:r>
      <w:r>
        <w:rPr>
          <w:rFonts w:ascii="Simplified Arabic" w:hAnsi="Simplified Arabic" w:cs="Simplified Arabic" w:hint="cs"/>
          <w:b/>
          <w:bCs/>
          <w:color w:val="000000" w:themeColor="text1"/>
          <w:sz w:val="32"/>
          <w:szCs w:val="32"/>
          <w:vertAlign w:val="superscript"/>
          <w:rtl/>
          <w:lang w:val="fr-FR"/>
        </w:rPr>
        <w:t xml:space="preserve"> </w:t>
      </w:r>
      <w:r>
        <w:rPr>
          <w:rFonts w:ascii="Simplified Arabic" w:hAnsi="Simplified Arabic" w:cs="Simplified Arabic" w:hint="cs"/>
          <w:color w:val="000000" w:themeColor="text1"/>
          <w:sz w:val="32"/>
          <w:szCs w:val="32"/>
          <w:rtl/>
          <w:lang w:val="fr-FR"/>
        </w:rPr>
        <w:t>وأصبح البابا رأس الجهاز السياسي في أوربا العصور الوسطى، بحيث اُعتبر ملك الملوك وأمير الأمراء، وانطلاقا من هذا بدأت البابوية تنظم سيادتها على أسس إقطاعية، وتطابق الجهازان الكنسي والسياسي تطابقا محكما في غرب أوربا</w:t>
      </w:r>
      <w:r w:rsidRPr="006C3DB8">
        <w:rPr>
          <w:rFonts w:ascii="Simplified Arabic" w:hAnsi="Simplified Arabic" w:cs="Simplified Arabic" w:hint="cs"/>
          <w:b/>
          <w:bCs/>
          <w:color w:val="000000" w:themeColor="text1"/>
          <w:sz w:val="32"/>
          <w:szCs w:val="32"/>
          <w:vertAlign w:val="superscript"/>
          <w:rtl/>
          <w:lang w:val="fr-FR"/>
        </w:rPr>
        <w:t>(</w:t>
      </w:r>
      <w:r w:rsidRPr="006C3DB8">
        <w:rPr>
          <w:rStyle w:val="a4"/>
          <w:rFonts w:ascii="Simplified Arabic" w:hAnsi="Simplified Arabic" w:cs="Simplified Arabic"/>
          <w:b/>
          <w:bCs/>
          <w:color w:val="000000" w:themeColor="text1"/>
          <w:sz w:val="32"/>
          <w:szCs w:val="32"/>
          <w:rtl/>
          <w:lang w:val="fr-FR"/>
        </w:rPr>
        <w:footnoteReference w:id="7"/>
      </w:r>
      <w:r w:rsidRPr="006C3DB8">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w:t>
      </w:r>
    </w:p>
    <w:p w:rsidR="00D2165A" w:rsidRPr="006C3DB8" w:rsidRDefault="00D2165A" w:rsidP="00D2165A">
      <w:pPr>
        <w:tabs>
          <w:tab w:val="left" w:pos="3203"/>
        </w:tabs>
        <w:spacing w:after="0"/>
        <w:jc w:val="both"/>
        <w:rPr>
          <w:rFonts w:ascii="Simplified Arabic" w:hAnsi="Simplified Arabic" w:cs="Simplified Arabic"/>
          <w:b/>
          <w:bCs/>
          <w:color w:val="000000" w:themeColor="text1"/>
          <w:sz w:val="32"/>
          <w:szCs w:val="32"/>
          <w:rtl/>
          <w:lang w:val="fr-FR" w:bidi="ar-DZ"/>
        </w:rPr>
      </w:pPr>
      <w:r w:rsidRPr="006C3DB8">
        <w:rPr>
          <w:rFonts w:ascii="Simplified Arabic" w:hAnsi="Simplified Arabic" w:cs="Simplified Arabic" w:hint="cs"/>
          <w:b/>
          <w:bCs/>
          <w:color w:val="000000" w:themeColor="text1"/>
          <w:sz w:val="32"/>
          <w:szCs w:val="32"/>
          <w:rtl/>
          <w:lang w:val="fr-FR" w:bidi="ar-DZ"/>
        </w:rPr>
        <w:t>-</w:t>
      </w:r>
      <w:r>
        <w:rPr>
          <w:rFonts w:ascii="Simplified Arabic" w:hAnsi="Simplified Arabic" w:cs="Simplified Arabic" w:hint="cs"/>
          <w:b/>
          <w:bCs/>
          <w:color w:val="000000" w:themeColor="text1"/>
          <w:sz w:val="32"/>
          <w:szCs w:val="32"/>
          <w:rtl/>
          <w:lang w:val="fr-FR" w:bidi="ar-DZ"/>
        </w:rPr>
        <w:t xml:space="preserve">البابا </w:t>
      </w:r>
      <w:r w:rsidRPr="006C3DB8">
        <w:rPr>
          <w:rFonts w:ascii="Simplified Arabic" w:hAnsi="Simplified Arabic" w:cs="Simplified Arabic" w:hint="cs"/>
          <w:b/>
          <w:bCs/>
          <w:color w:val="000000" w:themeColor="text1"/>
          <w:sz w:val="32"/>
          <w:szCs w:val="32"/>
          <w:rtl/>
          <w:lang w:val="fr-FR" w:bidi="ar-DZ"/>
        </w:rPr>
        <w:t>جريجوري الأول ونفوذ البابوية:</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 xml:space="preserve">   بوصول البابا جريجوري الأول (العظيم) (590-604م) إلى عرش البابوية، بدأ يعمل على تقوية النفوذ السياسي للبابوية على العالم المسيحي بشقيه الغربي والشرقي، علما أن هناك عوامل ساعدت على نجاح هذه السياسة، ومنها الظروف التي سادت بايطاليا، وانصراف الإمبراطورية البيزنطية لمعالجة مشاكلها في الشرق، وبهذا تحملت البابوية عبء المسؤولية في الغرب اللاّتيني</w:t>
      </w:r>
      <w:r w:rsidRPr="00370689">
        <w:rPr>
          <w:rFonts w:ascii="Simplified Arabic" w:hAnsi="Simplified Arabic" w:cs="Simplified Arabic" w:hint="cs"/>
          <w:b/>
          <w:bCs/>
          <w:color w:val="000000" w:themeColor="text1"/>
          <w:sz w:val="32"/>
          <w:szCs w:val="32"/>
          <w:vertAlign w:val="superscript"/>
          <w:rtl/>
          <w:lang w:val="fr-FR"/>
        </w:rPr>
        <w:t>(</w:t>
      </w:r>
      <w:r w:rsidRPr="00370689">
        <w:rPr>
          <w:rStyle w:val="a4"/>
          <w:rFonts w:ascii="Simplified Arabic" w:hAnsi="Simplified Arabic" w:cs="Simplified Arabic"/>
          <w:b/>
          <w:bCs/>
          <w:color w:val="000000" w:themeColor="text1"/>
          <w:sz w:val="32"/>
          <w:szCs w:val="32"/>
          <w:rtl/>
          <w:lang w:val="fr-FR"/>
        </w:rPr>
        <w:footnoteReference w:id="8"/>
      </w:r>
      <w:r w:rsidRPr="00370689">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 xml:space="preserve">   وبعدها حدث الانشقاق المذهبي والسياسي</w:t>
      </w:r>
      <w:r w:rsidRPr="00597D8C">
        <w:rPr>
          <w:rFonts w:ascii="Simplified Arabic" w:hAnsi="Simplified Arabic" w:cs="Simplified Arabic" w:hint="cs"/>
          <w:b/>
          <w:bCs/>
          <w:color w:val="000000" w:themeColor="text1"/>
          <w:sz w:val="32"/>
          <w:szCs w:val="32"/>
          <w:vertAlign w:val="superscript"/>
          <w:rtl/>
          <w:lang w:val="fr-FR"/>
        </w:rPr>
        <w:t>(</w:t>
      </w:r>
      <w:r w:rsidRPr="00597D8C">
        <w:rPr>
          <w:rStyle w:val="a4"/>
          <w:rFonts w:ascii="Simplified Arabic" w:hAnsi="Simplified Arabic" w:cs="Simplified Arabic"/>
          <w:b/>
          <w:bCs/>
          <w:color w:val="000000" w:themeColor="text1"/>
          <w:sz w:val="32"/>
          <w:szCs w:val="32"/>
          <w:rtl/>
          <w:lang w:val="fr-FR"/>
        </w:rPr>
        <w:footnoteReference w:id="9"/>
      </w:r>
      <w:r w:rsidRPr="00597D8C">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بين الشرق </w:t>
      </w:r>
      <w:r w:rsidRPr="001F0161">
        <w:rPr>
          <w:rFonts w:ascii="Simplified Arabic" w:hAnsi="Simplified Arabic" w:cs="Simplified Arabic" w:hint="cs"/>
          <w:sz w:val="32"/>
          <w:szCs w:val="32"/>
          <w:rtl/>
          <w:lang w:val="fr-FR"/>
        </w:rPr>
        <w:t>والغرب حول مشكلة اللا</w:t>
      </w:r>
      <w:r>
        <w:rPr>
          <w:rFonts w:ascii="Simplified Arabic" w:hAnsi="Simplified Arabic" w:cs="Simplified Arabic" w:hint="cs"/>
          <w:sz w:val="32"/>
          <w:szCs w:val="32"/>
          <w:rtl/>
          <w:lang w:val="fr-FR"/>
        </w:rPr>
        <w:t xml:space="preserve">ّ </w:t>
      </w:r>
      <w:r w:rsidRPr="001F0161">
        <w:rPr>
          <w:rFonts w:ascii="Simplified Arabic" w:hAnsi="Simplified Arabic" w:cs="Simplified Arabic" w:hint="cs"/>
          <w:sz w:val="32"/>
          <w:szCs w:val="32"/>
          <w:rtl/>
          <w:lang w:val="fr-FR"/>
        </w:rPr>
        <w:t>أيقونية</w:t>
      </w:r>
      <w:r w:rsidRPr="001F0161">
        <w:rPr>
          <w:rFonts w:ascii="Simplified Arabic" w:hAnsi="Simplified Arabic" w:cs="Simplified Arabic" w:hint="cs"/>
          <w:b/>
          <w:bCs/>
          <w:sz w:val="32"/>
          <w:szCs w:val="32"/>
          <w:vertAlign w:val="superscript"/>
          <w:rtl/>
          <w:lang w:val="fr-FR"/>
        </w:rPr>
        <w:t>(</w:t>
      </w:r>
      <w:r w:rsidRPr="001F0161">
        <w:rPr>
          <w:rStyle w:val="a4"/>
          <w:rFonts w:ascii="Simplified Arabic" w:hAnsi="Simplified Arabic" w:cs="Simplified Arabic"/>
          <w:b/>
          <w:bCs/>
          <w:sz w:val="32"/>
          <w:szCs w:val="32"/>
          <w:rtl/>
          <w:lang w:val="fr-FR"/>
        </w:rPr>
        <w:footnoteReference w:id="10"/>
      </w:r>
      <w:r w:rsidRPr="001F0161">
        <w:rPr>
          <w:rFonts w:ascii="Simplified Arabic" w:hAnsi="Simplified Arabic" w:cs="Simplified Arabic" w:hint="cs"/>
          <w:b/>
          <w:bCs/>
          <w:sz w:val="32"/>
          <w:szCs w:val="32"/>
          <w:vertAlign w:val="superscript"/>
          <w:rtl/>
          <w:lang w:val="fr-FR"/>
        </w:rPr>
        <w:t>)</w:t>
      </w:r>
      <w:r w:rsidRPr="001F0161">
        <w:rPr>
          <w:rFonts w:ascii="Simplified Arabic" w:hAnsi="Simplified Arabic" w:cs="Simplified Arabic" w:hint="cs"/>
          <w:sz w:val="32"/>
          <w:szCs w:val="32"/>
          <w:rtl/>
          <w:lang w:val="fr-FR"/>
        </w:rPr>
        <w:t>،</w:t>
      </w:r>
      <w:r>
        <w:rPr>
          <w:rFonts w:ascii="Simplified Arabic" w:hAnsi="Simplified Arabic" w:cs="Simplified Arabic" w:hint="cs"/>
          <w:color w:val="000000" w:themeColor="text1"/>
          <w:sz w:val="32"/>
          <w:szCs w:val="32"/>
          <w:rtl/>
          <w:lang w:val="fr-FR"/>
        </w:rPr>
        <w:t xml:space="preserve"> وفي التفاف شعوب الغرب حول البابوية لتقف موقفا سياسيا مضادا للقسطنطينية، </w:t>
      </w:r>
      <w:r>
        <w:rPr>
          <w:rFonts w:ascii="Simplified Arabic" w:hAnsi="Simplified Arabic" w:cs="Simplified Arabic" w:hint="cs"/>
          <w:color w:val="000000" w:themeColor="text1"/>
          <w:sz w:val="32"/>
          <w:szCs w:val="32"/>
          <w:rtl/>
          <w:lang w:val="fr-FR"/>
        </w:rPr>
        <w:lastRenderedPageBreak/>
        <w:t>كما ظهر إحياء الإمبراطورية الغربية في عهد شارلمان، ولكن سرعان ما تدهورت بعد تقسيم الإمبراطورية الكارولنجية، فأصبح من الضروري الإصلاح الكنسي، وأن هذا الإصلاح يتوقف على قيام سلطة كنسية مركزية قوية، تقف في وجه السلطة الزمنية وإجبارها على الاعتراف بسيادة الكنيسة</w:t>
      </w:r>
      <w:r w:rsidRPr="00414443">
        <w:rPr>
          <w:rFonts w:ascii="Simplified Arabic" w:hAnsi="Simplified Arabic" w:cs="Simplified Arabic" w:hint="cs"/>
          <w:b/>
          <w:bCs/>
          <w:color w:val="000000" w:themeColor="text1"/>
          <w:sz w:val="32"/>
          <w:szCs w:val="32"/>
          <w:vertAlign w:val="superscript"/>
          <w:rtl/>
          <w:lang w:val="fr-FR"/>
        </w:rPr>
        <w:t>(</w:t>
      </w:r>
      <w:r w:rsidRPr="00414443">
        <w:rPr>
          <w:rStyle w:val="a4"/>
          <w:rFonts w:ascii="Simplified Arabic" w:hAnsi="Simplified Arabic" w:cs="Simplified Arabic"/>
          <w:b/>
          <w:bCs/>
          <w:color w:val="000000" w:themeColor="text1"/>
          <w:sz w:val="32"/>
          <w:szCs w:val="32"/>
          <w:rtl/>
          <w:lang w:val="fr-FR"/>
        </w:rPr>
        <w:footnoteReference w:id="11"/>
      </w:r>
      <w:r w:rsidRPr="00414443">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w:t>
      </w:r>
      <w:r>
        <w:rPr>
          <w:rFonts w:ascii="Simplified Arabic" w:hAnsi="Simplified Arabic" w:cs="Simplified Arabic" w:hint="cs"/>
          <w:b/>
          <w:bCs/>
          <w:color w:val="000000" w:themeColor="text1"/>
          <w:sz w:val="32"/>
          <w:szCs w:val="32"/>
          <w:rtl/>
          <w:lang w:val="fr-FR"/>
        </w:rPr>
        <w:t xml:space="preserve">البابا </w:t>
      </w:r>
      <w:r w:rsidRPr="00FC7C3D">
        <w:rPr>
          <w:rFonts w:ascii="Simplified Arabic" w:hAnsi="Simplified Arabic" w:cs="Simplified Arabic" w:hint="cs"/>
          <w:b/>
          <w:bCs/>
          <w:color w:val="000000" w:themeColor="text1"/>
          <w:sz w:val="32"/>
          <w:szCs w:val="32"/>
          <w:rtl/>
          <w:lang w:val="fr-FR"/>
        </w:rPr>
        <w:t>جريجوري السابع وازدياد نفوذ البابوية:</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 xml:space="preserve">    لقد بلغت الكنيسة مرحلة حاسمة في تاريخها منذ النصف الثاني من القرن الحادي عشر الميلادي، حيث برزت </w:t>
      </w:r>
      <w:r w:rsidRPr="00F57113">
        <w:rPr>
          <w:rFonts w:ascii="Simplified Arabic" w:hAnsi="Simplified Arabic" w:cs="Simplified Arabic" w:hint="cs"/>
          <w:color w:val="000000" w:themeColor="text1"/>
          <w:sz w:val="32"/>
          <w:szCs w:val="32"/>
          <w:rtl/>
          <w:lang w:val="fr-FR"/>
        </w:rPr>
        <w:t>شخصية البابا جريجوري السابع</w:t>
      </w:r>
      <w:r w:rsidRPr="00F57113">
        <w:rPr>
          <w:rFonts w:ascii="Simplified Arabic" w:hAnsi="Simplified Arabic" w:cs="Simplified Arabic"/>
          <w:color w:val="000000" w:themeColor="text1"/>
          <w:sz w:val="32"/>
          <w:szCs w:val="32"/>
          <w:lang w:val="fr-FR"/>
        </w:rPr>
        <w:t xml:space="preserve">Gregory VII </w:t>
      </w:r>
      <w:r w:rsidRPr="00F57113">
        <w:rPr>
          <w:rFonts w:ascii="Simplified Arabic" w:hAnsi="Simplified Arabic" w:cs="Simplified Arabic" w:hint="cs"/>
          <w:color w:val="000000" w:themeColor="text1"/>
          <w:sz w:val="32"/>
          <w:szCs w:val="32"/>
          <w:rtl/>
          <w:lang w:val="fr-FR"/>
        </w:rPr>
        <w:t xml:space="preserve"> (1073</w:t>
      </w:r>
      <w:r>
        <w:rPr>
          <w:rFonts w:ascii="Simplified Arabic" w:hAnsi="Simplified Arabic" w:cs="Simplified Arabic" w:hint="cs"/>
          <w:color w:val="000000" w:themeColor="text1"/>
          <w:sz w:val="32"/>
          <w:szCs w:val="32"/>
          <w:rtl/>
          <w:lang w:val="fr-FR"/>
        </w:rPr>
        <w:t>-1085م) أعظم بابوات العصور الوسطى، إذ كان موقفه عنيدا تجاه الإمبراطورية وإرغامها على الاعتراف بسمو البابوية، وبأن هذه الأخيرة مصدر كل السلطات الدينية والسياسية</w:t>
      </w:r>
      <w:r w:rsidRPr="00715857">
        <w:rPr>
          <w:rFonts w:ascii="Simplified Arabic" w:hAnsi="Simplified Arabic" w:cs="Simplified Arabic" w:hint="cs"/>
          <w:b/>
          <w:bCs/>
          <w:color w:val="000000" w:themeColor="text1"/>
          <w:sz w:val="32"/>
          <w:szCs w:val="32"/>
          <w:vertAlign w:val="superscript"/>
          <w:rtl/>
          <w:lang w:val="fr-FR"/>
        </w:rPr>
        <w:t>(</w:t>
      </w:r>
      <w:r w:rsidRPr="00715857">
        <w:rPr>
          <w:rStyle w:val="a4"/>
          <w:rFonts w:ascii="Simplified Arabic" w:hAnsi="Simplified Arabic" w:cs="Simplified Arabic"/>
          <w:b/>
          <w:bCs/>
          <w:color w:val="000000" w:themeColor="text1"/>
          <w:sz w:val="32"/>
          <w:szCs w:val="32"/>
          <w:rtl/>
          <w:lang w:val="fr-FR"/>
        </w:rPr>
        <w:footnoteReference w:id="12"/>
      </w:r>
      <w:r w:rsidRPr="00715857">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rPr>
        <w:t xml:space="preserve">   لقد</w:t>
      </w:r>
      <w:r w:rsidRPr="009E4E15">
        <w:rPr>
          <w:rFonts w:ascii="Simplified Arabic" w:hAnsi="Simplified Arabic" w:cs="Simplified Arabic" w:hint="cs"/>
          <w:color w:val="000000" w:themeColor="text1"/>
          <w:sz w:val="32"/>
          <w:szCs w:val="32"/>
          <w:rtl/>
          <w:lang w:val="fr-FR"/>
        </w:rPr>
        <w:t xml:space="preserve"> كان له بالفعل تأثير حاسم </w:t>
      </w:r>
      <w:r>
        <w:rPr>
          <w:rFonts w:ascii="Simplified Arabic" w:hAnsi="Simplified Arabic" w:cs="Simplified Arabic" w:hint="cs"/>
          <w:color w:val="000000" w:themeColor="text1"/>
          <w:sz w:val="32"/>
          <w:szCs w:val="32"/>
          <w:rtl/>
          <w:lang w:val="fr-FR"/>
        </w:rPr>
        <w:t>في</w:t>
      </w:r>
      <w:r w:rsidRPr="009E4E15">
        <w:rPr>
          <w:rFonts w:ascii="Simplified Arabic" w:hAnsi="Simplified Arabic" w:cs="Simplified Arabic" w:hint="cs"/>
          <w:color w:val="000000" w:themeColor="text1"/>
          <w:sz w:val="32"/>
          <w:szCs w:val="32"/>
          <w:rtl/>
          <w:lang w:val="fr-FR"/>
        </w:rPr>
        <w:t xml:space="preserve"> </w:t>
      </w:r>
      <w:r>
        <w:rPr>
          <w:rFonts w:ascii="Simplified Arabic" w:hAnsi="Simplified Arabic" w:cs="Simplified Arabic" w:hint="cs"/>
          <w:color w:val="000000" w:themeColor="text1"/>
          <w:sz w:val="32"/>
          <w:szCs w:val="32"/>
          <w:rtl/>
          <w:lang w:val="fr-FR"/>
        </w:rPr>
        <w:t>مصير البابوية، إذ أنه حاول تجسيد برنامجها وأيديولوجيتها، ولهذا كانت</w:t>
      </w:r>
      <w:r w:rsidRPr="009B72E3">
        <w:rPr>
          <w:rFonts w:ascii="Simplified Arabic" w:hAnsi="Simplified Arabic" w:cs="Simplified Arabic" w:hint="cs"/>
          <w:color w:val="000000" w:themeColor="text1"/>
          <w:sz w:val="32"/>
          <w:szCs w:val="32"/>
          <w:rtl/>
          <w:lang w:val="fr-FR"/>
        </w:rPr>
        <w:t xml:space="preserve"> البابوية تحت قيادته الجريئة مدفوعة بقوتها الداخلية وبرنامجها لتصبح مؤسسة ذات أبعاد أوروبية</w:t>
      </w:r>
      <w:r w:rsidRPr="00727756">
        <w:rPr>
          <w:rFonts w:ascii="Simplified Arabic" w:hAnsi="Simplified Arabic" w:cs="Simplified Arabic" w:hint="cs"/>
          <w:b/>
          <w:bCs/>
          <w:color w:val="000000" w:themeColor="text1"/>
          <w:sz w:val="32"/>
          <w:szCs w:val="32"/>
          <w:vertAlign w:val="superscript"/>
          <w:rtl/>
          <w:lang w:val="fr-FR" w:bidi="ar-DZ"/>
        </w:rPr>
        <w:t>(</w:t>
      </w:r>
      <w:r w:rsidRPr="00727756">
        <w:rPr>
          <w:rStyle w:val="a4"/>
          <w:rFonts w:ascii="Simplified Arabic" w:hAnsi="Simplified Arabic" w:cs="Simplified Arabic"/>
          <w:b/>
          <w:bCs/>
          <w:color w:val="000000" w:themeColor="text1"/>
          <w:sz w:val="32"/>
          <w:szCs w:val="32"/>
          <w:rtl/>
          <w:lang w:val="fr-FR"/>
        </w:rPr>
        <w:footnoteReference w:id="13"/>
      </w:r>
      <w:r w:rsidRPr="00727756">
        <w:rPr>
          <w:rFonts w:ascii="Simplified Arabic" w:hAnsi="Simplified Arabic" w:cs="Simplified Arabic" w:hint="cs"/>
          <w:b/>
          <w:bCs/>
          <w:color w:val="000000" w:themeColor="text1"/>
          <w:sz w:val="32"/>
          <w:szCs w:val="32"/>
          <w:vertAlign w:val="superscript"/>
          <w:rtl/>
          <w:lang w:val="fr-FR"/>
        </w:rPr>
        <w:t>)</w:t>
      </w:r>
      <w:r>
        <w:rPr>
          <w:rFonts w:ascii="Simplified Arabic" w:hAnsi="Simplified Arabic" w:cs="Simplified Arabic" w:hint="cs"/>
          <w:color w:val="000000" w:themeColor="text1"/>
          <w:sz w:val="32"/>
          <w:szCs w:val="32"/>
          <w:rtl/>
          <w:lang w:val="fr-FR"/>
        </w:rPr>
        <w:t xml:space="preserve">. وفي صراعه مع المؤسسة السياسية استخدم البابا جريجوري السابع سلاحين روحيين، وهما عقوبة الحرمان ضد فرد معين بذاته </w:t>
      </w:r>
      <w:r>
        <w:rPr>
          <w:rFonts w:ascii="Simplified Arabic" w:hAnsi="Simplified Arabic" w:cs="Simplified Arabic"/>
          <w:color w:val="000000" w:themeColor="text1"/>
          <w:sz w:val="32"/>
          <w:szCs w:val="32"/>
          <w:lang w:val="fr-FR"/>
        </w:rPr>
        <w:t>Excommunication</w:t>
      </w:r>
      <w:r>
        <w:rPr>
          <w:rFonts w:ascii="Simplified Arabic" w:hAnsi="Simplified Arabic" w:cs="Simplified Arabic" w:hint="cs"/>
          <w:color w:val="000000" w:themeColor="text1"/>
          <w:sz w:val="32"/>
          <w:szCs w:val="32"/>
          <w:rtl/>
          <w:lang w:val="fr-FR" w:bidi="ar-DZ"/>
        </w:rPr>
        <w:t>، أي يصبح الشخص منبوذا من المجتمع لا يمكن التعامل معه، أما الحرمان الثاني فهو الاجتماعي(</w:t>
      </w:r>
      <w:r>
        <w:rPr>
          <w:rFonts w:ascii="Simplified Arabic" w:hAnsi="Simplified Arabic" w:cs="Simplified Arabic"/>
          <w:color w:val="000000" w:themeColor="text1"/>
          <w:sz w:val="32"/>
          <w:szCs w:val="32"/>
          <w:lang w:val="fr-FR" w:bidi="ar-DZ"/>
        </w:rPr>
        <w:t>Interdict</w:t>
      </w:r>
      <w:r>
        <w:rPr>
          <w:rFonts w:ascii="Simplified Arabic" w:hAnsi="Simplified Arabic" w:cs="Simplified Arabic" w:hint="cs"/>
          <w:color w:val="000000" w:themeColor="text1"/>
          <w:sz w:val="32"/>
          <w:szCs w:val="32"/>
          <w:rtl/>
          <w:lang w:val="fr-FR" w:bidi="ar-DZ"/>
        </w:rPr>
        <w:t>)، الذي يخص به مجتمع بأكمله سواء كان هذا المجتمع مدينة أو إقليما أو مملكة بكاملها، وكان لذلك أثرٌ بالغٌ في ازدياد نفوذ البابوية</w:t>
      </w:r>
      <w:r w:rsidRPr="007E0732">
        <w:rPr>
          <w:rFonts w:ascii="Simplified Arabic" w:hAnsi="Simplified Arabic" w:cs="Simplified Arabic" w:hint="cs"/>
          <w:b/>
          <w:bCs/>
          <w:color w:val="000000" w:themeColor="text1"/>
          <w:sz w:val="32"/>
          <w:szCs w:val="32"/>
          <w:vertAlign w:val="superscript"/>
          <w:rtl/>
          <w:lang w:val="fr-FR" w:bidi="ar-DZ"/>
        </w:rPr>
        <w:t>(</w:t>
      </w:r>
      <w:r w:rsidRPr="007E0732">
        <w:rPr>
          <w:rStyle w:val="a4"/>
          <w:rFonts w:ascii="Simplified Arabic" w:hAnsi="Simplified Arabic" w:cs="Simplified Arabic"/>
          <w:b/>
          <w:bCs/>
          <w:color w:val="000000" w:themeColor="text1"/>
          <w:sz w:val="32"/>
          <w:szCs w:val="32"/>
          <w:rtl/>
          <w:lang w:val="fr-FR" w:bidi="ar-DZ"/>
        </w:rPr>
        <w:footnoteReference w:id="14"/>
      </w:r>
      <w:r w:rsidRPr="007E0732">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D2165A" w:rsidRDefault="00D2165A" w:rsidP="00D2165A">
      <w:pPr>
        <w:tabs>
          <w:tab w:val="left" w:pos="3203"/>
        </w:tabs>
        <w:spacing w:after="0"/>
        <w:jc w:val="both"/>
        <w:rPr>
          <w:rFonts w:ascii="Simplified Arabic" w:hAnsi="Simplified Arabic" w:cs="Simplified Arabic" w:hint="cs"/>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w:t>
      </w:r>
    </w:p>
    <w:p w:rsidR="00A556C8" w:rsidRDefault="00A556C8" w:rsidP="00D2165A">
      <w:pPr>
        <w:tabs>
          <w:tab w:val="left" w:pos="3203"/>
        </w:tabs>
        <w:spacing w:after="0"/>
        <w:jc w:val="both"/>
        <w:rPr>
          <w:rFonts w:ascii="Simplified Arabic" w:hAnsi="Simplified Arabic" w:cs="Simplified Arabic" w:hint="cs"/>
          <w:color w:val="000000" w:themeColor="text1"/>
          <w:sz w:val="32"/>
          <w:szCs w:val="32"/>
          <w:rtl/>
          <w:lang w:val="fr-FR" w:bidi="ar-DZ"/>
        </w:rPr>
      </w:pPr>
    </w:p>
    <w:p w:rsidR="00A556C8" w:rsidRDefault="00A556C8" w:rsidP="00D2165A">
      <w:pPr>
        <w:tabs>
          <w:tab w:val="left" w:pos="3203"/>
        </w:tabs>
        <w:spacing w:after="0"/>
        <w:jc w:val="both"/>
        <w:rPr>
          <w:rFonts w:ascii="Simplified Arabic" w:hAnsi="Simplified Arabic" w:cs="Simplified Arabic"/>
          <w:color w:val="000000" w:themeColor="text1"/>
          <w:sz w:val="32"/>
          <w:szCs w:val="32"/>
          <w:rtl/>
          <w:lang w:val="fr-FR" w:bidi="ar-DZ"/>
        </w:rPr>
      </w:pPr>
    </w:p>
    <w:p w:rsidR="00D2165A" w:rsidRPr="007A3644" w:rsidRDefault="00D2165A" w:rsidP="00D2165A">
      <w:pPr>
        <w:tabs>
          <w:tab w:val="left" w:pos="3203"/>
        </w:tabs>
        <w:spacing w:after="0"/>
        <w:jc w:val="both"/>
        <w:rPr>
          <w:rFonts w:ascii="Simplified Arabic" w:hAnsi="Simplified Arabic" w:cs="Simplified Arabic"/>
          <w:b/>
          <w:bCs/>
          <w:color w:val="000000" w:themeColor="text1"/>
          <w:sz w:val="32"/>
          <w:szCs w:val="32"/>
          <w:rtl/>
          <w:lang w:val="fr-FR" w:bidi="ar-DZ"/>
        </w:rPr>
      </w:pPr>
      <w:r>
        <w:rPr>
          <w:rFonts w:ascii="Simplified Arabic" w:hAnsi="Simplified Arabic" w:cs="Simplified Arabic" w:hint="cs"/>
          <w:b/>
          <w:bCs/>
          <w:color w:val="000000" w:themeColor="text1"/>
          <w:sz w:val="32"/>
          <w:szCs w:val="32"/>
          <w:rtl/>
          <w:lang w:val="fr-FR" w:bidi="ar-DZ"/>
        </w:rPr>
        <w:t>-</w:t>
      </w:r>
      <w:r w:rsidRPr="007A3644">
        <w:rPr>
          <w:rFonts w:ascii="Simplified Arabic" w:hAnsi="Simplified Arabic" w:cs="Simplified Arabic" w:hint="cs"/>
          <w:b/>
          <w:bCs/>
          <w:color w:val="000000" w:themeColor="text1"/>
          <w:sz w:val="32"/>
          <w:szCs w:val="32"/>
          <w:rtl/>
          <w:lang w:val="fr-FR" w:bidi="ar-DZ"/>
        </w:rPr>
        <w:t>البابا إنوسنت الثالث وم</w:t>
      </w:r>
      <w:r>
        <w:rPr>
          <w:rFonts w:ascii="Simplified Arabic" w:hAnsi="Simplified Arabic" w:cs="Simplified Arabic" w:hint="cs"/>
          <w:b/>
          <w:bCs/>
          <w:color w:val="000000" w:themeColor="text1"/>
          <w:sz w:val="32"/>
          <w:szCs w:val="32"/>
          <w:rtl/>
          <w:lang w:val="fr-FR" w:bidi="ar-DZ"/>
        </w:rPr>
        <w:t>كا</w:t>
      </w:r>
      <w:r w:rsidRPr="007A3644">
        <w:rPr>
          <w:rFonts w:ascii="Simplified Arabic" w:hAnsi="Simplified Arabic" w:cs="Simplified Arabic" w:hint="cs"/>
          <w:b/>
          <w:bCs/>
          <w:color w:val="000000" w:themeColor="text1"/>
          <w:sz w:val="32"/>
          <w:szCs w:val="32"/>
          <w:rtl/>
          <w:lang w:val="fr-FR" w:bidi="ar-DZ"/>
        </w:rPr>
        <w:t>نة البابوية:</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لقد وصلت </w:t>
      </w:r>
      <w:r w:rsidRPr="003A6C62">
        <w:rPr>
          <w:rFonts w:ascii="Simplified Arabic" w:hAnsi="Simplified Arabic" w:cs="Simplified Arabic" w:hint="cs"/>
          <w:color w:val="000000" w:themeColor="text1"/>
          <w:sz w:val="32"/>
          <w:szCs w:val="32"/>
          <w:rtl/>
          <w:lang w:val="fr-FR" w:bidi="ar-DZ"/>
        </w:rPr>
        <w:t xml:space="preserve">البابوية </w:t>
      </w:r>
      <w:r>
        <w:rPr>
          <w:rFonts w:ascii="Simplified Arabic" w:hAnsi="Simplified Arabic" w:cs="Simplified Arabic" w:hint="cs"/>
          <w:color w:val="000000" w:themeColor="text1"/>
          <w:sz w:val="32"/>
          <w:szCs w:val="32"/>
          <w:rtl/>
          <w:lang w:val="fr-FR" w:bidi="ar-DZ"/>
        </w:rPr>
        <w:t xml:space="preserve">إلى درجة متقدمة في عهد البابا إنوسنت الثالث </w:t>
      </w:r>
      <w:r>
        <w:rPr>
          <w:rFonts w:ascii="Simplified Arabic" w:hAnsi="Simplified Arabic" w:cs="Simplified Arabic"/>
          <w:color w:val="000000" w:themeColor="text1"/>
          <w:sz w:val="32"/>
          <w:szCs w:val="32"/>
          <w:lang w:val="fr-FR" w:bidi="ar-DZ"/>
        </w:rPr>
        <w:t>Innocent III</w:t>
      </w:r>
      <w:r>
        <w:rPr>
          <w:rFonts w:ascii="Simplified Arabic" w:hAnsi="Simplified Arabic" w:cs="Simplified Arabic" w:hint="cs"/>
          <w:color w:val="000000" w:themeColor="text1"/>
          <w:sz w:val="32"/>
          <w:szCs w:val="32"/>
          <w:rtl/>
          <w:lang w:val="fr-FR" w:bidi="ar-DZ"/>
        </w:rPr>
        <w:t xml:space="preserve"> ( 1198-1216)، وخلال فترة حبريته (رئاسته المقدسة)</w:t>
      </w:r>
      <w:r w:rsidRPr="003A6C62">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hint="cs"/>
          <w:color w:val="000000" w:themeColor="text1"/>
          <w:sz w:val="32"/>
          <w:szCs w:val="32"/>
          <w:rtl/>
          <w:lang w:val="fr-FR" w:bidi="ar-DZ"/>
        </w:rPr>
        <w:t xml:space="preserve">بدأت </w:t>
      </w:r>
      <w:r w:rsidRPr="003A6C62">
        <w:rPr>
          <w:rFonts w:ascii="Simplified Arabic" w:hAnsi="Simplified Arabic" w:cs="Simplified Arabic" w:hint="cs"/>
          <w:color w:val="000000" w:themeColor="text1"/>
          <w:sz w:val="32"/>
          <w:szCs w:val="32"/>
          <w:rtl/>
          <w:lang w:val="fr-FR" w:bidi="ar-DZ"/>
        </w:rPr>
        <w:t>الهزات الأولى للصراع بين البابوية</w:t>
      </w:r>
      <w:r w:rsidRPr="00166907">
        <w:rPr>
          <w:rFonts w:ascii="Simplified Arabic" w:hAnsi="Simplified Arabic" w:cs="Simplified Arabic" w:hint="cs"/>
          <w:sz w:val="32"/>
          <w:szCs w:val="32"/>
          <w:rtl/>
          <w:lang w:val="fr-FR" w:bidi="ar-DZ"/>
        </w:rPr>
        <w:t xml:space="preserve"> وسلالة ستاوفن </w:t>
      </w:r>
      <w:r w:rsidRPr="00166907">
        <w:rPr>
          <w:rFonts w:ascii="Simplified Arabic" w:hAnsi="Simplified Arabic" w:cs="Simplified Arabic"/>
          <w:sz w:val="32"/>
          <w:szCs w:val="32"/>
          <w:lang w:val="fr-FR" w:bidi="ar-DZ"/>
        </w:rPr>
        <w:t>Staufen</w:t>
      </w:r>
      <w:r w:rsidRPr="00166907">
        <w:rPr>
          <w:rFonts w:ascii="Simplified Arabic" w:hAnsi="Simplified Arabic" w:cs="Simplified Arabic" w:hint="cs"/>
          <w:sz w:val="32"/>
          <w:szCs w:val="32"/>
          <w:rtl/>
          <w:lang w:val="fr-FR" w:bidi="ar-DZ"/>
        </w:rPr>
        <w:t xml:space="preserve"> الألمانية</w:t>
      </w:r>
      <w:r w:rsidRPr="00166907">
        <w:rPr>
          <w:rFonts w:ascii="Simplified Arabic" w:hAnsi="Simplified Arabic" w:cs="Simplified Arabic" w:hint="cs"/>
          <w:b/>
          <w:bCs/>
          <w:sz w:val="32"/>
          <w:szCs w:val="32"/>
          <w:vertAlign w:val="superscript"/>
          <w:rtl/>
          <w:lang w:val="fr-FR" w:bidi="ar-DZ"/>
        </w:rPr>
        <w:t>(</w:t>
      </w:r>
      <w:r w:rsidRPr="00166907">
        <w:rPr>
          <w:rStyle w:val="a4"/>
          <w:rFonts w:ascii="Simplified Arabic" w:hAnsi="Simplified Arabic" w:cs="Simplified Arabic"/>
          <w:b/>
          <w:bCs/>
          <w:sz w:val="32"/>
          <w:szCs w:val="32"/>
          <w:rtl/>
          <w:lang w:val="fr-FR" w:bidi="ar-DZ"/>
        </w:rPr>
        <w:footnoteReference w:id="15"/>
      </w:r>
      <w:r w:rsidRPr="00166907">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وقد أصبحت البابوية في مركز مرموق لها تنظيمات خاصة بالبلاط البابوي وسياسة ثابتة تجاه السلطة السياسية، وسيطرة تامة على الهيئات الدينية</w:t>
      </w:r>
      <w:r w:rsidRPr="000D2030">
        <w:rPr>
          <w:rFonts w:ascii="Simplified Arabic" w:hAnsi="Simplified Arabic" w:cs="Simplified Arabic" w:hint="cs"/>
          <w:b/>
          <w:bCs/>
          <w:color w:val="000000" w:themeColor="text1"/>
          <w:sz w:val="32"/>
          <w:szCs w:val="32"/>
          <w:vertAlign w:val="superscript"/>
          <w:rtl/>
          <w:lang w:val="fr-FR" w:bidi="ar-DZ"/>
        </w:rPr>
        <w:t>(</w:t>
      </w:r>
      <w:r w:rsidRPr="000D2030">
        <w:rPr>
          <w:rStyle w:val="a4"/>
          <w:rFonts w:ascii="Simplified Arabic" w:hAnsi="Simplified Arabic" w:cs="Simplified Arabic"/>
          <w:b/>
          <w:bCs/>
          <w:color w:val="000000" w:themeColor="text1"/>
          <w:sz w:val="32"/>
          <w:szCs w:val="32"/>
          <w:rtl/>
          <w:lang w:val="fr-FR" w:bidi="ar-DZ"/>
        </w:rPr>
        <w:footnoteReference w:id="16"/>
      </w:r>
      <w:r w:rsidRPr="000D2030">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كما أصبحت المحكمة البابوية في عهد البابا إنوسنت الثالث، جهاز قضائي تنظر في جميع القضايا المرفوعة إليها، وكان البابا نفسه ينظر في القضايا ويساعده بعض الكرادلة، حتى وإن كانت بعض القضايا يتم تحويلها إلى كبار رجال الدين، في الأقاليم التي جاءت منها مختلف القضايا، وأصبح الديوان البابوي أعظم جهاز إداري في العصور الوسطى، وأن الحكومة البابوية بدأت تتطور شيئا فشيئا، إلى أن برز التخصص في البلاط البابوي، أي نشوء جماعات وهيئات من الموظفين لكل منها عملها الإداري المعين</w:t>
      </w:r>
      <w:r w:rsidRPr="00E9607D">
        <w:rPr>
          <w:rFonts w:ascii="Simplified Arabic" w:hAnsi="Simplified Arabic" w:cs="Simplified Arabic" w:hint="cs"/>
          <w:b/>
          <w:bCs/>
          <w:color w:val="000000" w:themeColor="text1"/>
          <w:sz w:val="32"/>
          <w:szCs w:val="32"/>
          <w:vertAlign w:val="superscript"/>
          <w:rtl/>
          <w:lang w:val="fr-FR" w:bidi="ar-DZ"/>
        </w:rPr>
        <w:t>(</w:t>
      </w:r>
      <w:r w:rsidRPr="00E9607D">
        <w:rPr>
          <w:rStyle w:val="a4"/>
          <w:rFonts w:ascii="Simplified Arabic" w:hAnsi="Simplified Arabic" w:cs="Simplified Arabic"/>
          <w:b/>
          <w:bCs/>
          <w:color w:val="000000" w:themeColor="text1"/>
          <w:sz w:val="32"/>
          <w:szCs w:val="32"/>
          <w:rtl/>
          <w:lang w:val="fr-FR" w:bidi="ar-DZ"/>
        </w:rPr>
        <w:footnoteReference w:id="17"/>
      </w:r>
      <w:r w:rsidRPr="00E9607D">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w:t>
      </w:r>
    </w:p>
    <w:p w:rsidR="00D2165A" w:rsidRDefault="00D2165A" w:rsidP="00D2165A">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w:t>
      </w:r>
    </w:p>
    <w:p w:rsidR="00FE0319" w:rsidRDefault="00D2165A" w:rsidP="00FE0319">
      <w:pPr>
        <w:tabs>
          <w:tab w:val="left" w:pos="3203"/>
        </w:tabs>
        <w:spacing w:after="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p>
    <w:p w:rsidR="005C1F58" w:rsidRDefault="005C1F58" w:rsidP="00D2165A">
      <w:pPr>
        <w:rPr>
          <w:lang w:bidi="ar-DZ"/>
        </w:rPr>
      </w:pPr>
    </w:p>
    <w:sectPr w:rsidR="005C1F58" w:rsidSect="00B35BA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D8" w:rsidRDefault="006863D8" w:rsidP="00D2165A">
      <w:pPr>
        <w:spacing w:after="0" w:line="240" w:lineRule="auto"/>
      </w:pPr>
      <w:r>
        <w:separator/>
      </w:r>
    </w:p>
  </w:endnote>
  <w:endnote w:type="continuationSeparator" w:id="1">
    <w:p w:rsidR="006863D8" w:rsidRDefault="006863D8" w:rsidP="00D2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D8" w:rsidRDefault="006863D8" w:rsidP="00D2165A">
      <w:pPr>
        <w:spacing w:after="0" w:line="240" w:lineRule="auto"/>
      </w:pPr>
      <w:r>
        <w:separator/>
      </w:r>
    </w:p>
  </w:footnote>
  <w:footnote w:type="continuationSeparator" w:id="1">
    <w:p w:rsidR="006863D8" w:rsidRDefault="006863D8" w:rsidP="00D2165A">
      <w:pPr>
        <w:spacing w:after="0" w:line="240" w:lineRule="auto"/>
      </w:pPr>
      <w:r>
        <w:continuationSeparator/>
      </w:r>
    </w:p>
  </w:footnote>
  <w:footnote w:id="2">
    <w:p w:rsidR="00D2165A" w:rsidRPr="002959B3" w:rsidRDefault="00D2165A" w:rsidP="00FE0319">
      <w:pPr>
        <w:pStyle w:val="a3"/>
        <w:jc w:val="both"/>
        <w:rPr>
          <w:rFonts w:ascii="Simplified Arabic" w:hAnsi="Simplified Arabic" w:cs="Simplified Arabic"/>
          <w:color w:val="FFFFFF" w:themeColor="background1"/>
          <w:sz w:val="24"/>
          <w:szCs w:val="24"/>
          <w:rtl/>
          <w:lang w:bidi="ar-DZ"/>
        </w:rPr>
      </w:pPr>
      <w:r w:rsidRPr="002959B3">
        <w:rPr>
          <w:rFonts w:ascii="Simplified Arabic" w:hAnsi="Simplified Arabic" w:cs="Simplified Arabic"/>
          <w:b/>
          <w:bCs/>
          <w:color w:val="FFFFFF" w:themeColor="background1"/>
          <w:sz w:val="24"/>
          <w:szCs w:val="24"/>
          <w:vertAlign w:val="superscript"/>
          <w:lang w:bidi="ar-DZ"/>
        </w:rPr>
        <w:footnoteRef/>
      </w:r>
      <w:r w:rsidRPr="002959B3">
        <w:rPr>
          <w:rFonts w:ascii="Simplified Arabic" w:hAnsi="Simplified Arabic" w:cs="Simplified Arabic" w:hint="cs"/>
          <w:b/>
          <w:bCs/>
          <w:color w:val="FFFFFF" w:themeColor="background1"/>
          <w:sz w:val="24"/>
          <w:szCs w:val="24"/>
          <w:vertAlign w:val="superscript"/>
          <w:rtl/>
          <w:lang w:bidi="ar-DZ"/>
        </w:rPr>
        <w:t>)</w:t>
      </w:r>
      <w:r w:rsidRPr="002959B3">
        <w:rPr>
          <w:rFonts w:ascii="Simplified Arabic" w:hAnsi="Simplified Arabic" w:cs="Simplified Arabic" w:hint="cs"/>
          <w:color w:val="FFFFFF" w:themeColor="background1"/>
          <w:sz w:val="24"/>
          <w:szCs w:val="24"/>
          <w:rtl/>
          <w:lang w:bidi="ar-DZ"/>
        </w:rPr>
        <w:t xml:space="preserve"> السيد السابق، ص.154.</w:t>
      </w:r>
    </w:p>
  </w:footnote>
  <w:footnote w:id="3">
    <w:p w:rsidR="00D2165A" w:rsidRPr="002959B3" w:rsidRDefault="00D2165A" w:rsidP="00FE0319">
      <w:pPr>
        <w:pStyle w:val="a3"/>
        <w:jc w:val="both"/>
        <w:rPr>
          <w:color w:val="FFFFFF" w:themeColor="background1"/>
          <w:lang w:val="fr-FR"/>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للمزيد انظر:</w:t>
      </w:r>
      <w:r w:rsidRPr="002959B3">
        <w:rPr>
          <w:rFonts w:ascii="Simplified Arabic" w:hAnsi="Simplified Arabic" w:cs="Simplified Arabic"/>
          <w:color w:val="FFFFFF" w:themeColor="background1"/>
          <w:sz w:val="24"/>
          <w:szCs w:val="24"/>
          <w:lang w:bidi="ar-DZ"/>
        </w:rPr>
        <w:t>, Short history of Papacy in, 2003, New York and London, P.1.</w:t>
      </w:r>
    </w:p>
  </w:footnote>
  <w:footnote w:id="4">
    <w:p w:rsidR="00D2165A" w:rsidRPr="002959B3" w:rsidRDefault="00D2165A" w:rsidP="00FE0319">
      <w:pPr>
        <w:pStyle w:val="a3"/>
        <w:jc w:val="both"/>
        <w:rPr>
          <w:color w:val="FFFFFF" w:themeColor="background1"/>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السابق، ص.172.</w:t>
      </w:r>
    </w:p>
  </w:footnote>
  <w:footnote w:id="5">
    <w:p w:rsidR="00D2165A" w:rsidRPr="002959B3" w:rsidRDefault="00D2165A" w:rsidP="00D2165A">
      <w:pPr>
        <w:pStyle w:val="a3"/>
        <w:jc w:val="both"/>
        <w:rPr>
          <w:rFonts w:ascii="Simplified Arabic" w:hAnsi="Simplified Arabic" w:cs="Simplified Arabic"/>
          <w:color w:val="FFFFFF" w:themeColor="background1"/>
          <w:sz w:val="24"/>
          <w:szCs w:val="24"/>
          <w:rtl/>
          <w:lang w:bidi="ar-DZ"/>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عاشور، أوربا العصور الوسطى، النظم والحضارة، ج.2، ص.1.</w:t>
      </w:r>
    </w:p>
  </w:footnote>
  <w:footnote w:id="6">
    <w:p w:rsidR="00D2165A" w:rsidRPr="002959B3" w:rsidRDefault="00D2165A" w:rsidP="00856FFF">
      <w:pPr>
        <w:pStyle w:val="a3"/>
        <w:jc w:val="both"/>
        <w:rPr>
          <w:color w:val="FFFFFF" w:themeColor="background1"/>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p>
  </w:footnote>
  <w:footnote w:id="7">
    <w:p w:rsidR="00D2165A" w:rsidRPr="002959B3" w:rsidRDefault="00D2165A" w:rsidP="00D2165A">
      <w:pPr>
        <w:pStyle w:val="a3"/>
        <w:rPr>
          <w:color w:val="FFFFFF" w:themeColor="background1"/>
          <w:rtl/>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 xml:space="preserve">) </w:t>
      </w:r>
      <w:r w:rsidRPr="002959B3">
        <w:rPr>
          <w:rFonts w:ascii="Simplified Arabic" w:hAnsi="Simplified Arabic" w:cs="Simplified Arabic" w:hint="cs"/>
          <w:color w:val="FFFFFF" w:themeColor="background1"/>
          <w:sz w:val="24"/>
          <w:szCs w:val="24"/>
          <w:rtl/>
          <w:lang w:bidi="ar-DZ"/>
        </w:rPr>
        <w:t>عاشور، أوربا العصور الوسطى، ج.2، ص.2.</w:t>
      </w:r>
      <w:r w:rsidRPr="002959B3">
        <w:rPr>
          <w:rFonts w:hint="cs"/>
          <w:color w:val="FFFFFF" w:themeColor="background1"/>
          <w:rtl/>
          <w:lang w:bidi="ar-DZ"/>
        </w:rPr>
        <w:t xml:space="preserve"> </w:t>
      </w:r>
    </w:p>
  </w:footnote>
  <w:footnote w:id="8">
    <w:p w:rsidR="00D2165A" w:rsidRPr="002959B3" w:rsidRDefault="00D2165A" w:rsidP="00D2165A">
      <w:pPr>
        <w:pStyle w:val="a3"/>
        <w:jc w:val="both"/>
        <w:rPr>
          <w:rFonts w:ascii="Simplified Arabic" w:hAnsi="Simplified Arabic" w:cs="Simplified Arabic"/>
          <w:color w:val="FFFFFF" w:themeColor="background1"/>
          <w:sz w:val="24"/>
          <w:szCs w:val="24"/>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عاشور، المرجع نفسه، ج.2، ص.2.</w:t>
      </w:r>
    </w:p>
  </w:footnote>
  <w:footnote w:id="9">
    <w:p w:rsidR="00D2165A" w:rsidRPr="002959B3" w:rsidRDefault="00D2165A" w:rsidP="00856FFF">
      <w:pPr>
        <w:pStyle w:val="a3"/>
        <w:jc w:val="both"/>
        <w:rPr>
          <w:rFonts w:ascii="Simplified Arabic" w:hAnsi="Simplified Arabic" w:cs="Simplified Arabic"/>
          <w:color w:val="FFFFFF" w:themeColor="background1"/>
          <w:sz w:val="24"/>
          <w:szCs w:val="24"/>
          <w:rtl/>
          <w:lang w:bidi="ar-DZ"/>
        </w:rPr>
      </w:pPr>
      <w:r w:rsidRPr="002959B3">
        <w:rPr>
          <w:rFonts w:ascii="Simplified Arabic" w:hAnsi="Simplified Arabic" w:cs="Simplified Arabic"/>
          <w:color w:val="FFFFFF" w:themeColor="background1"/>
          <w:sz w:val="24"/>
          <w:szCs w:val="24"/>
          <w:lang w:val="fr-FR" w:bidi="ar-DZ"/>
        </w:rPr>
        <w:t xml:space="preserve">I </w:t>
      </w:r>
      <w:r w:rsidRPr="002959B3">
        <w:rPr>
          <w:rFonts w:ascii="Simplified Arabic" w:hAnsi="Simplified Arabic" w:cs="Simplified Arabic" w:hint="cs"/>
          <w:color w:val="FFFFFF" w:themeColor="background1"/>
          <w:sz w:val="24"/>
          <w:szCs w:val="24"/>
          <w:rtl/>
          <w:lang w:bidi="ar-DZ"/>
        </w:rPr>
        <w:t xml:space="preserve"> (858-867م)، وحرمانه من رحمة الكنيسة وبطلان اعتقاد كنيسة روما بشأن الروح القدس، واعتبروا ذلك هرطقة، كما أدانوا كنيسة روما نتيجة تدخلها في شؤون كنيسة بيزنطة. وبهذا حدث الانشقاق الديني بين الكنيستين، بل زادت حدة الإمبراطورية البيزنطية، 1994، دار المعرفة الجامعية، الإسكندرية، ص ص.118-185.</w:t>
      </w:r>
    </w:p>
  </w:footnote>
  <w:footnote w:id="10">
    <w:p w:rsidR="00D2165A" w:rsidRPr="002959B3" w:rsidRDefault="00D2165A" w:rsidP="00856FFF">
      <w:pPr>
        <w:pStyle w:val="a3"/>
        <w:jc w:val="both"/>
        <w:rPr>
          <w:rFonts w:ascii="Simplified Arabic" w:hAnsi="Simplified Arabic" w:cs="Simplified Arabic"/>
          <w:color w:val="FFFFFF" w:themeColor="background1"/>
          <w:sz w:val="24"/>
          <w:szCs w:val="24"/>
          <w:rtl/>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الأيقونات هي الصور والرسوم والتماثيل التي تصور أو تمثل المسيح عليه السلام والقديسين، من أجل العبادة والتقديس، وقد استعملتها الكنيسة في بداية الأمر لتقريب العقيدة لأذهان الأميين وتعليمهم دينهم الجديد. غير أن هذا العمل لم يعجب عبادة الأيقونات، وقد كان الإسلامية، إذ أن الحرب على عبادة الصور والأيقونات كان المسلمون قد بدؤوها قبل الإمبراطور. حيث نجد الخليفة يزيد بن عبد الملك الأموي سنة 723م/104ه. أصدر قرارا بإزالة الأيقونات من الكنائس المسيحية في سنوات، وعلى ما يبدو أن البيزنطيين قد تأثروا الشيخ، تاريخ الإمبراطورية البيزنطية، ص</w:t>
      </w:r>
      <w:r>
        <w:rPr>
          <w:rFonts w:ascii="Simplified Arabic" w:hAnsi="Simplified Arabic" w:cs="Simplified Arabic" w:hint="cs"/>
          <w:sz w:val="24"/>
          <w:szCs w:val="24"/>
          <w:rtl/>
          <w:lang w:bidi="ar-DZ"/>
        </w:rPr>
        <w:t xml:space="preserve"> </w:t>
      </w:r>
      <w:r w:rsidRPr="002959B3">
        <w:rPr>
          <w:rFonts w:ascii="Simplified Arabic" w:hAnsi="Simplified Arabic" w:cs="Simplified Arabic" w:hint="cs"/>
          <w:color w:val="FFFFFF" w:themeColor="background1"/>
          <w:sz w:val="24"/>
          <w:szCs w:val="24"/>
          <w:rtl/>
          <w:lang w:bidi="ar-DZ"/>
        </w:rPr>
        <w:t>ص.118-184. في الدولة البيزنطية، مطبعة لجنة التأليف والترجمة والنشر، 1956، القاهرة؛ جوزيف نسيم يوسف، تاريخ الدولة البيزنطية، ص ص.99-118.</w:t>
      </w:r>
    </w:p>
  </w:footnote>
  <w:footnote w:id="11">
    <w:p w:rsidR="00D2165A" w:rsidRPr="002959B3" w:rsidRDefault="00D2165A" w:rsidP="00D2165A">
      <w:pPr>
        <w:pStyle w:val="a3"/>
        <w:rPr>
          <w:color w:val="FFFFFF" w:themeColor="background1"/>
          <w:rtl/>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عاشور، أوربا العصور الوسطى، ج.2، ص ص.2-3.</w:t>
      </w:r>
    </w:p>
  </w:footnote>
  <w:footnote w:id="12">
    <w:p w:rsidR="00D2165A" w:rsidRPr="002959B3" w:rsidRDefault="00D2165A" w:rsidP="00D2165A">
      <w:pPr>
        <w:pStyle w:val="a3"/>
        <w:jc w:val="both"/>
        <w:rPr>
          <w:color w:val="FFFFFF" w:themeColor="background1"/>
          <w:rtl/>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عاشور، المرجع نفسه، ج.2، ص.3.</w:t>
      </w:r>
    </w:p>
  </w:footnote>
  <w:footnote w:id="13">
    <w:p w:rsidR="00D2165A" w:rsidRPr="002959B3" w:rsidRDefault="00D2165A" w:rsidP="00856FFF">
      <w:pPr>
        <w:pStyle w:val="a3"/>
        <w:jc w:val="both"/>
        <w:rPr>
          <w:color w:val="FFFFFF" w:themeColor="background1"/>
          <w:rtl/>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ascii="Simplified Arabic" w:hAnsi="Simplified Arabic" w:cs="Simplified Arabic" w:hint="cs"/>
          <w:color w:val="FFFFFF" w:themeColor="background1"/>
          <w:sz w:val="24"/>
          <w:szCs w:val="24"/>
          <w:rtl/>
          <w:lang w:bidi="ar-DZ"/>
        </w:rPr>
        <w:t xml:space="preserve"> للمزيد من التفاصيل انظر:</w:t>
      </w:r>
      <w:r w:rsidRPr="002959B3">
        <w:rPr>
          <w:rFonts w:ascii="Simplified Arabic" w:hAnsi="Simplified Arabic" w:cs="Simplified Arabic"/>
          <w:color w:val="FFFFFF" w:themeColor="background1"/>
          <w:sz w:val="24"/>
          <w:szCs w:val="24"/>
          <w:lang w:bidi="ar-DZ"/>
        </w:rPr>
        <w:t>, op.cit., P.91.</w:t>
      </w:r>
    </w:p>
  </w:footnote>
  <w:footnote w:id="14">
    <w:p w:rsidR="00D2165A" w:rsidRPr="002959B3" w:rsidRDefault="00D2165A" w:rsidP="00D2165A">
      <w:pPr>
        <w:pStyle w:val="a3"/>
        <w:jc w:val="both"/>
        <w:rPr>
          <w:color w:val="FFFFFF" w:themeColor="background1"/>
          <w:rtl/>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عاشور، أوربا العصور الوسطى، ج.2، ص.3.</w:t>
      </w:r>
    </w:p>
  </w:footnote>
  <w:footnote w:id="15">
    <w:p w:rsidR="00D2165A" w:rsidRPr="002959B3" w:rsidRDefault="00D2165A" w:rsidP="00856FFF">
      <w:pPr>
        <w:pStyle w:val="a3"/>
        <w:jc w:val="both"/>
        <w:rPr>
          <w:color w:val="FFFFFF" w:themeColor="background1"/>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انظر:</w:t>
      </w:r>
      <w:r w:rsidRPr="002959B3">
        <w:rPr>
          <w:rFonts w:ascii="Simplified Arabic" w:hAnsi="Simplified Arabic" w:cs="Simplified Arabic"/>
          <w:color w:val="FFFFFF" w:themeColor="background1"/>
          <w:sz w:val="24"/>
          <w:szCs w:val="24"/>
          <w:lang w:bidi="ar-DZ"/>
        </w:rPr>
        <w:t>, op.cit., P.122.</w:t>
      </w:r>
    </w:p>
  </w:footnote>
  <w:footnote w:id="16">
    <w:p w:rsidR="00D2165A" w:rsidRPr="002959B3" w:rsidRDefault="00D2165A" w:rsidP="00D2165A">
      <w:pPr>
        <w:pStyle w:val="a3"/>
        <w:jc w:val="both"/>
        <w:rPr>
          <w:color w:val="FFFFFF" w:themeColor="background1"/>
          <w:rtl/>
        </w:rPr>
      </w:pPr>
      <w:r w:rsidRPr="002959B3">
        <w:rPr>
          <w:rFonts w:ascii="Simplified Arabic" w:hAnsi="Simplified Arabic" w:cs="Simplified Arabic" w:hint="cs"/>
          <w:color w:val="FFFFFF" w:themeColor="background1"/>
          <w:sz w:val="24"/>
          <w:szCs w:val="24"/>
          <w:rtl/>
          <w:lang w:bidi="ar-DZ"/>
        </w:rPr>
        <w:t>.5.</w:t>
      </w:r>
    </w:p>
  </w:footnote>
  <w:footnote w:id="17">
    <w:p w:rsidR="00D2165A" w:rsidRPr="002959B3" w:rsidRDefault="00D2165A" w:rsidP="00D2165A">
      <w:pPr>
        <w:pStyle w:val="a3"/>
        <w:jc w:val="both"/>
        <w:rPr>
          <w:color w:val="FFFFFF" w:themeColor="background1"/>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 xml:space="preserve">) </w:t>
      </w:r>
      <w:r w:rsidRPr="002959B3">
        <w:rPr>
          <w:rFonts w:ascii="Simplified Arabic" w:hAnsi="Simplified Arabic" w:cs="Simplified Arabic" w:hint="cs"/>
          <w:color w:val="FFFFFF" w:themeColor="background1"/>
          <w:sz w:val="24"/>
          <w:szCs w:val="24"/>
          <w:rtl/>
          <w:lang w:bidi="ar-DZ"/>
        </w:rPr>
        <w:t>عاشور، المرجع نفسه، ج.2، ص ص.6-7.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2165A"/>
    <w:rsid w:val="003015FA"/>
    <w:rsid w:val="00402D6C"/>
    <w:rsid w:val="005C1F58"/>
    <w:rsid w:val="006863D8"/>
    <w:rsid w:val="00856FFF"/>
    <w:rsid w:val="008E33DE"/>
    <w:rsid w:val="0090252D"/>
    <w:rsid w:val="00A556C8"/>
    <w:rsid w:val="00B35BA8"/>
    <w:rsid w:val="00D2165A"/>
    <w:rsid w:val="00FE03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5A"/>
    <w:pPr>
      <w:bidi/>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D2165A"/>
    <w:pPr>
      <w:spacing w:after="0" w:line="240" w:lineRule="auto"/>
    </w:pPr>
    <w:rPr>
      <w:sz w:val="20"/>
      <w:szCs w:val="20"/>
    </w:rPr>
  </w:style>
  <w:style w:type="character" w:customStyle="1" w:styleId="Char">
    <w:name w:val="نص حاشية سفلية Char"/>
    <w:basedOn w:val="a0"/>
    <w:link w:val="a3"/>
    <w:rsid w:val="00D2165A"/>
    <w:rPr>
      <w:sz w:val="20"/>
      <w:szCs w:val="20"/>
    </w:rPr>
  </w:style>
  <w:style w:type="character" w:styleId="a4">
    <w:name w:val="footnote reference"/>
    <w:basedOn w:val="a0"/>
    <w:uiPriority w:val="99"/>
    <w:semiHidden/>
    <w:unhideWhenUsed/>
    <w:rsid w:val="00D216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mabrouk</dc:creator>
  <cp:lastModifiedBy>mabrouk</cp:lastModifiedBy>
  <cp:revision>5</cp:revision>
  <dcterms:created xsi:type="dcterms:W3CDTF">2024-12-23T20:51:00Z</dcterms:created>
  <dcterms:modified xsi:type="dcterms:W3CDTF">2024-12-23T21:40:00Z</dcterms:modified>
</cp:coreProperties>
</file>