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6" w:rsidRPr="00DF507E" w:rsidRDefault="00F93956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b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الجمهورية الجزائرية </w:t>
      </w:r>
      <w:proofErr w:type="spellStart"/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>الديموقراطية</w:t>
      </w:r>
      <w:proofErr w:type="spellEnd"/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 الشعبية                                                         وزارة التعليم العالي والبحث العلمي.</w:t>
      </w:r>
    </w:p>
    <w:p w:rsidR="00F93956" w:rsidRPr="00DF507E" w:rsidRDefault="00F93956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b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جامعة محمد </w:t>
      </w:r>
      <w:proofErr w:type="spellStart"/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>خيضر</w:t>
      </w:r>
      <w:proofErr w:type="spellEnd"/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>-بسكرة.</w:t>
      </w:r>
      <w:r w:rsidR="00861B46" w:rsidRPr="00DF507E">
        <w:rPr>
          <w:rFonts w:ascii="Traditional Arabic" w:hAnsi="Traditional Arabic" w:cs="Traditional Arabic"/>
          <w:b/>
          <w:noProof/>
          <w:sz w:val="28"/>
          <w:szCs w:val="28"/>
          <w:rtl/>
          <w:lang w:eastAsia="fr-FR"/>
        </w:rPr>
        <w:pict>
          <v:rect id="_x0000_s1026" style="position:absolute;left:0;text-align:left;margin-left:9.1pt;margin-top:28.35pt;width:459.2pt;height:57.65pt;z-index:251660288;mso-position-horizontal-relative:text;mso-position-vertical-relative:text" fillcolor="white [3201]" strokecolor="yellow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9579B3" w:rsidRPr="006E6154" w:rsidRDefault="009579B3" w:rsidP="00F9395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proofErr w:type="spellStart"/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التاريخ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</w:t>
                  </w:r>
                  <w:proofErr w:type="spellStart"/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المستوى،</w:t>
                  </w:r>
                  <w:proofErr w:type="spellEnd"/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السنة الثالثة ليسانس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الأستاذة: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د.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بكرادة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جازية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</w:t>
                  </w:r>
                  <w:r w:rsidRPr="00D67A9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المقياس: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قضايا عربية معاصرة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</w:t>
                  </w:r>
                </w:p>
                <w:p w:rsidR="009579B3" w:rsidRPr="006E6154" w:rsidRDefault="009579B3" w:rsidP="00F93956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F507E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                                                            كلية العلوم الانسانية والعلوم الاجتماعية</w:t>
      </w:r>
    </w:p>
    <w:p w:rsidR="00F93956" w:rsidRPr="00DF507E" w:rsidRDefault="00F93956" w:rsidP="00DF507E">
      <w:pPr>
        <w:tabs>
          <w:tab w:val="right" w:pos="-284"/>
        </w:tabs>
        <w:bidi/>
        <w:spacing w:line="240" w:lineRule="auto"/>
        <w:ind w:left="-284"/>
        <w:jc w:val="center"/>
        <w:rPr>
          <w:rFonts w:ascii="Traditional Arabic" w:hAnsi="Traditional Arabic" w:cs="Traditional Arabic"/>
          <w:b/>
          <w:sz w:val="28"/>
          <w:szCs w:val="28"/>
          <w:rtl/>
          <w:lang w:bidi="ar-DZ"/>
        </w:rPr>
      </w:pPr>
    </w:p>
    <w:p w:rsidR="00F93956" w:rsidRPr="00DF507E" w:rsidRDefault="00F93956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bCs/>
          <w:sz w:val="28"/>
          <w:szCs w:val="28"/>
          <w:highlight w:val="green"/>
          <w:rtl/>
          <w:lang w:bidi="ar-DZ"/>
        </w:rPr>
      </w:pPr>
    </w:p>
    <w:p w:rsidR="00022ED2" w:rsidRPr="00DF507E" w:rsidRDefault="00F93956" w:rsidP="00DF507E">
      <w:pPr>
        <w:tabs>
          <w:tab w:val="right" w:pos="-284"/>
        </w:tabs>
        <w:bidi/>
        <w:spacing w:line="240" w:lineRule="auto"/>
        <w:ind w:left="-2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المحاضرة </w:t>
      </w:r>
      <w:proofErr w:type="spellStart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proofErr w:type="spellEnd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734EE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الحركة </w:t>
      </w:r>
      <w:proofErr w:type="spellStart"/>
      <w:r w:rsidR="00734EE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النسوية</w:t>
      </w:r>
      <w:proofErr w:type="spellEnd"/>
      <w:r w:rsidR="00734EE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ومطالب التغيير الاجتماعي في الوطن العربي</w:t>
      </w:r>
    </w:p>
    <w:p w:rsidR="005A715F" w:rsidRPr="00DF507E" w:rsidRDefault="005A715F" w:rsidP="00DF507E">
      <w:pPr>
        <w:tabs>
          <w:tab w:val="right" w:pos="-284"/>
          <w:tab w:val="right" w:pos="8221"/>
        </w:tabs>
        <w:bidi/>
        <w:spacing w:line="240" w:lineRule="auto"/>
        <w:ind w:left="-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كرم الاسلام المرأة وأعطاها كل حقوقها وجعل لها مكانة في المجتمع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الاسلامي،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وما يبرهن هذا الكلام أن الله ساوى بينها وبين الرجل في التشريع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والعقوبات،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وأن آخر ما أوصى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به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النبي عليه أفضل الصلاة والسلام للمسلمين هو بالرفق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بالقوارير،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وأنه مات وهو في حجر أمنا عائشة رضي الله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عنها،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وهي من نقلت لنا السيرة النبوية إذ كانت من أبرز رواة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الحديث،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وكان الرجال يأتونها لأخذ العلم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منها،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ولكن مع مرور الوقت بدأت المرأة تفقد حقوقها التي أعطاها إياها الاسلام بسبب ظلم الرجل لها لابتعاده عن جاءت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به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الشريعة الاسلامية.</w:t>
      </w:r>
    </w:p>
    <w:p w:rsidR="005A715F" w:rsidRPr="00DF507E" w:rsidRDefault="005A715F" w:rsidP="00DF507E">
      <w:pPr>
        <w:tabs>
          <w:tab w:val="right" w:pos="-284"/>
          <w:tab w:val="right" w:pos="8221"/>
        </w:tabs>
        <w:bidi/>
        <w:spacing w:line="240" w:lineRule="auto"/>
        <w:ind w:left="-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هذا ما جعل المرأة المسلمة العربية تعيش حياة تعيسة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مهانة،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فثارت على مجتمعها والعادات والتقاليد التي قيدتها مقتدية بذلك بنساء العالم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الغربي،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فكونت الحركة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لتغيير واقعها دون التمييز بينها وبين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الرجل،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ولكن هذه الحركة حققت بعض مطالبها </w:t>
      </w:r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أخلت بقيم المجتمعات العربية الاسلامية حسب رأي البعض. ومن هنا يمكن طرح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االاشكالية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التالية: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ما التغيير الذي أحدثته الحركة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المجتمع العربي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؟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وهل هذا التغيير كان ايجابيا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؟؟</w:t>
      </w:r>
      <w:proofErr w:type="spellEnd"/>
    </w:p>
    <w:p w:rsidR="00F93956" w:rsidRPr="00DF507E" w:rsidRDefault="002B77CD" w:rsidP="00DF507E">
      <w:pPr>
        <w:tabs>
          <w:tab w:val="right" w:pos="-284"/>
        </w:tabs>
        <w:bidi/>
        <w:spacing w:line="240" w:lineRule="auto"/>
        <w:ind w:left="-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تعريف الحركة </w:t>
      </w:r>
      <w:proofErr w:type="spellStart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عرّفت ملاك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الجهني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كتابها قضايا المرأة في الخطاب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المعاصر: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الحجاب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أنمودجا:"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الخطاب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أنه بناء من الأفكار يحمل وجهة نظر تهدف إلى تحرير  المرأة أو تحسين أوضاعها بعمق وفقا لإيديولوجية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التي أسس عليها</w:t>
      </w:r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بدأت الحركة </w:t>
      </w:r>
      <w:proofErr w:type="spellStart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بالظهور في البلاد </w:t>
      </w:r>
      <w:proofErr w:type="spellStart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نهاية النصف الثاني من </w:t>
      </w:r>
      <w:proofErr w:type="spellStart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القرن19</w:t>
      </w:r>
      <w:proofErr w:type="spellEnd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9273D7" w:rsidRPr="00DF507E" w:rsidRDefault="009273D7" w:rsidP="00DF507E">
      <w:pPr>
        <w:tabs>
          <w:tab w:val="right" w:pos="-284"/>
        </w:tabs>
        <w:bidi/>
        <w:spacing w:line="240" w:lineRule="auto"/>
        <w:ind w:left="-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عوامل ظهور الحركة </w:t>
      </w:r>
      <w:proofErr w:type="spellStart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في الوطن العربي:</w:t>
      </w:r>
    </w:p>
    <w:p w:rsidR="009273D7" w:rsidRPr="00DF507E" w:rsidRDefault="009273D7" w:rsidP="00794493">
      <w:pPr>
        <w:tabs>
          <w:tab w:val="right" w:pos="-284"/>
        </w:tabs>
        <w:bidi/>
        <w:spacing w:line="240" w:lineRule="auto"/>
        <w:ind w:left="-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بدأ الكثير من الطلاب العرب بالسفر إلى أوروبا من أجل الدراسة</w:t>
      </w:r>
      <w:r w:rsidR="007944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النصف الثاني من </w:t>
      </w:r>
      <w:proofErr w:type="spellStart"/>
      <w:r w:rsidR="00794493">
        <w:rPr>
          <w:rFonts w:ascii="Traditional Arabic" w:hAnsi="Traditional Arabic" w:cs="Traditional Arabic"/>
          <w:sz w:val="28"/>
          <w:szCs w:val="28"/>
          <w:rtl/>
          <w:lang w:bidi="ar-DZ"/>
        </w:rPr>
        <w:t>القرن19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4B2145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وتأثر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هؤلاء بالحضارة الغربية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ونسائها،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وبعد رجوعهم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بدأوا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يدعون إلى ضرورة تعليم الفتيات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وانشاء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مدارس خاصة بهم كرفاعة رافع الطهطاوي</w:t>
      </w:r>
      <w:r w:rsidR="004B2145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E0B64" w:rsidRPr="00DF507E" w:rsidRDefault="006E0B64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-الاوضاع المزرية للمرأة العربية في مجتمعها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التهمي</w:t>
      </w:r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ش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الدونية،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حرمانها من حقوقها كالتعليم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والإرث،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التمييز بينها وبين الرجل في أسرتها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proofErr w:type="spellEnd"/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اضافة الى كل هذا انها كانت حب</w:t>
      </w:r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سة بيتها ولا تستطيع الخروج </w:t>
      </w:r>
      <w:proofErr w:type="spellStart"/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الا</w:t>
      </w:r>
      <w:proofErr w:type="spellEnd"/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للضرورة</w:t>
      </w:r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بسبب طبيعة </w:t>
      </w:r>
      <w:proofErr w:type="spellStart"/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المجتع</w:t>
      </w:r>
      <w:proofErr w:type="spellEnd"/>
      <w:r w:rsidR="008374CD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المحافظة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6E0B64" w:rsidRPr="00DF507E" w:rsidRDefault="006E0B64" w:rsidP="00794493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-التعليم الفتيات في مدارس الارساليات في بلاد الشام منذ القرن 19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كمدرسة البنات بدمشق التابعة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للارسالية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الامريكية</w:t>
      </w:r>
      <w:r w:rsidR="003774B7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="003774B7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وكذا المدارس الاوروبية </w:t>
      </w:r>
      <w:proofErr w:type="spellStart"/>
      <w:r w:rsidR="003774B7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والتنصيرية</w:t>
      </w:r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فتخرجت بعضهن مؤمنات </w:t>
      </w:r>
      <w:proofErr w:type="spellStart"/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بافكر</w:t>
      </w:r>
      <w:proofErr w:type="spellEnd"/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الغربي وخاصة أفكار الحركة </w:t>
      </w:r>
      <w:proofErr w:type="spellStart"/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النسوية</w:t>
      </w:r>
      <w:proofErr w:type="spellEnd"/>
      <w:r w:rsidR="0079449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الغربية .</w:t>
      </w:r>
    </w:p>
    <w:p w:rsidR="004B2145" w:rsidRPr="00DF507E" w:rsidRDefault="004B2145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-ظهور شخصيات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نسوية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متعلمة من ال</w:t>
      </w:r>
      <w:proofErr w:type="gram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طبقة المخملية (</w:t>
      </w:r>
      <w:proofErr w:type="gram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الأسرة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الحاكمة،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العائلات الغنية وكبار الموظفين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)،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أمثال هدى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الشعراوي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مصر ونازك العابد في سوريا اللاتي بدأن يكتبن في الصحف عن دور المرأة في النهضة وتقدم المجتمع.كما كانت لها الصالونات الأدبية</w:t>
      </w:r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والعلمية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تجتمع فيها النساء المثقفات</w:t>
      </w:r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للنظر في حالتهن </w:t>
      </w:r>
      <w:proofErr w:type="spellStart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الاجتماعية،</w:t>
      </w:r>
      <w:proofErr w:type="spellEnd"/>
      <w:r w:rsidR="006E0B64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ثم أسست الجمعيات والمنظمات النسائية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AA6C9B" w:rsidRPr="00DF507E" w:rsidRDefault="004B2145" w:rsidP="00AA6C9B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-احتكاك المرأة العربية بالنساء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الأروبيات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خاصة بعد تعرض البلدان العربية إلى الاست</w:t>
      </w:r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عمار الأوروبي.فهدى </w:t>
      </w:r>
      <w:proofErr w:type="spellStart"/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>الشعراوي</w:t>
      </w:r>
      <w:proofErr w:type="spellEnd"/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كان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تردد على بيت والدها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مرأة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فرنسية هي صديقة لأمها.</w:t>
      </w:r>
    </w:p>
    <w:p w:rsidR="002B77CD" w:rsidRDefault="002B77CD" w:rsidP="00DF507E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التغيير الاجتماعي ال</w:t>
      </w:r>
      <w:r w:rsidR="001C6E4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ذي أحدثته الحركة </w:t>
      </w:r>
      <w:proofErr w:type="spellStart"/>
      <w:r w:rsidR="001C6E4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النسوية</w:t>
      </w:r>
      <w:proofErr w:type="spellEnd"/>
      <w:r w:rsidR="001C6E49"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534E63" w:rsidRPr="00534E63" w:rsidRDefault="00534E63" w:rsidP="00534E63">
      <w:pPr>
        <w:tabs>
          <w:tab w:val="right" w:pos="-284"/>
        </w:tabs>
        <w:bidi/>
        <w:spacing w:line="240" w:lineRule="auto"/>
        <w:ind w:left="-284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34E6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الايجابي:</w:t>
      </w:r>
    </w:p>
    <w:p w:rsidR="002B77CD" w:rsidRPr="00DF507E" w:rsidRDefault="002B77CD" w:rsidP="00AA6C9B">
      <w:pPr>
        <w:pStyle w:val="Paragraphedeliste"/>
        <w:numPr>
          <w:ilvl w:val="0"/>
          <w:numId w:val="1"/>
        </w:numPr>
        <w:tabs>
          <w:tab w:val="right" w:pos="-284"/>
        </w:tabs>
        <w:bidi/>
        <w:spacing w:line="240" w:lineRule="auto"/>
        <w:ind w:left="-284" w:firstLine="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التعليم:</w:t>
      </w:r>
      <w:proofErr w:type="spellEnd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طالبت الحركة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بمنح الفتيات حقهن في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التعليم،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واستطاعت الحكومات العربية تحقيق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ذلك،</w:t>
      </w:r>
      <w:proofErr w:type="spellEnd"/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تشير الاحصائيات إلى أن الوطن العربي يعاني من صعوبات في التعليم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إلا أن العشرين العام الماضية قد شهدت تطورا ملموسا في توجه الإناث نحو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التعليم،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فهناك سبع دول عربية ترتفع فيها نسبة الأمية بين النساء الراشدات لأكثر من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80%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وهي تضم</w:t>
      </w:r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حوالي ثلث الثقل </w:t>
      </w:r>
      <w:proofErr w:type="spellStart"/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>الديموغرافي</w:t>
      </w:r>
      <w:proofErr w:type="spellEnd"/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="00AA6C9B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ى</w:t>
      </w:r>
      <w:proofErr w:type="spellEnd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الوطن العربي من بينها كل من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المغرب،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والسودان والجزائر والعراق...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وأقل</w:t>
      </w:r>
      <w:proofErr w:type="gram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نسب سجلت في كل من الكويت ولبنان قدرت ب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39%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و9%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كل منهما على التوالي</w:t>
      </w:r>
      <w:r w:rsidR="001C6E49"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DF507E" w:rsidRPr="00BF66F7" w:rsidRDefault="001C6E49" w:rsidP="00AA6C9B">
      <w:pPr>
        <w:pStyle w:val="Paragraphedeliste"/>
        <w:numPr>
          <w:ilvl w:val="0"/>
          <w:numId w:val="1"/>
        </w:numPr>
        <w:tabs>
          <w:tab w:val="right" w:pos="-284"/>
        </w:tabs>
        <w:bidi/>
        <w:spacing w:line="240" w:lineRule="auto"/>
        <w:ind w:left="-284" w:firstLine="0"/>
        <w:jc w:val="both"/>
        <w:rPr>
          <w:rFonts w:ascii="Traditional Arabic" w:hAnsi="Traditional Arabic" w:cs="Traditional Arabic" w:hint="cs"/>
          <w:sz w:val="28"/>
          <w:szCs w:val="28"/>
          <w:highlight w:val="yellow"/>
          <w:lang w:bidi="ar-DZ"/>
        </w:rPr>
      </w:pPr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BF66F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الزواج </w:t>
      </w:r>
      <w:proofErr w:type="spellStart"/>
      <w:r w:rsidRPr="00BF66F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المبكر</w:t>
      </w:r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proofErr w:type="spellEnd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كانت الفتيات 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تزوجن في سن مبكر(12 -15 سنة</w:t>
      </w:r>
      <w:proofErr w:type="spellStart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)،</w:t>
      </w:r>
      <w:proofErr w:type="spellEnd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لهذا طالبت الحركة </w:t>
      </w:r>
      <w:proofErr w:type="spellStart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وعلى رأسها هدى </w:t>
      </w:r>
      <w:proofErr w:type="spellStart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الشعراوي</w:t>
      </w:r>
      <w:proofErr w:type="spellEnd"/>
      <w:r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برفع سن الزواج للفتيات </w:t>
      </w:r>
      <w:r w:rsidR="00DF507E"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>الى 18 سنة مع تجريم كل من يزوّج الفتاة تحت هذه السن بالسجن لسنوات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وبالفعل رفع السن </w:t>
      </w:r>
      <w:proofErr w:type="spellStart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إلى18</w:t>
      </w:r>
      <w:proofErr w:type="spellEnd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سنة.</w:t>
      </w:r>
      <w:r w:rsidR="00DF507E" w:rsidRPr="00BF66F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1C6E49" w:rsidRPr="00DF507E" w:rsidRDefault="001C6E49" w:rsidP="00AA6C9B">
      <w:pPr>
        <w:pStyle w:val="Paragraphedeliste"/>
        <w:numPr>
          <w:ilvl w:val="0"/>
          <w:numId w:val="1"/>
        </w:numPr>
        <w:tabs>
          <w:tab w:val="right" w:pos="-284"/>
        </w:tabs>
        <w:bidi/>
        <w:spacing w:line="240" w:lineRule="auto"/>
        <w:ind w:left="-284" w:firstLine="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F66F7">
        <w:rPr>
          <w:rFonts w:ascii="Traditional Arabic" w:hAnsi="Traditional Arabic" w:cs="Traditional Arabic"/>
          <w:sz w:val="32"/>
          <w:szCs w:val="32"/>
          <w:highlight w:val="yellow"/>
          <w:rtl/>
          <w:lang w:bidi="ar-DZ"/>
        </w:rPr>
        <w:t xml:space="preserve"> </w:t>
      </w:r>
      <w:r w:rsidR="00DF507E" w:rsidRPr="00BF66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</w:t>
      </w:r>
      <w:r w:rsidR="00AA6C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 w:rsidR="00DF507E" w:rsidRPr="00BF66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قانون يمنع تعدد الزوجات والمطالبة بجعل الطلاق أمام القاضي </w:t>
      </w:r>
      <w:proofErr w:type="spellStart"/>
      <w:r w:rsidR="00DF507E" w:rsidRPr="00BF66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والزام</w:t>
      </w:r>
      <w:proofErr w:type="spellEnd"/>
      <w:r w:rsidR="00DF507E" w:rsidRPr="00BF66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المطلق بالنفقة وزيادة سن الحضا</w:t>
      </w:r>
      <w:r w:rsidR="00AA6C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نة</w:t>
      </w:r>
    </w:p>
    <w:p w:rsidR="001C6E49" w:rsidRPr="00DF507E" w:rsidRDefault="001C6E49" w:rsidP="00AA6C9B">
      <w:pPr>
        <w:pStyle w:val="Paragraphedeliste"/>
        <w:numPr>
          <w:ilvl w:val="0"/>
          <w:numId w:val="1"/>
        </w:numPr>
        <w:tabs>
          <w:tab w:val="right" w:pos="-284"/>
          <w:tab w:val="right" w:pos="283"/>
        </w:tabs>
        <w:bidi/>
        <w:spacing w:line="240" w:lineRule="auto"/>
        <w:ind w:left="-284" w:firstLine="0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محاربة التحرش الجنسي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بل تفضحه وتكشف النقاب عن نتائجه و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 </w:t>
      </w:r>
      <w:proofErr w:type="spell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ضحاياه،</w:t>
      </w:r>
      <w:proofErr w:type="spell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وبالفعل العديد من الدول قد سنت قانون ضد التحرش اما بغرامات مالية أو السجن لمرتكبي هذا الفعل المشين.</w:t>
      </w:r>
    </w:p>
    <w:p w:rsidR="001C6E49" w:rsidRPr="004C0E95" w:rsidRDefault="001C6E49" w:rsidP="00AA6C9B">
      <w:pPr>
        <w:pStyle w:val="Paragraphedeliste"/>
        <w:numPr>
          <w:ilvl w:val="0"/>
          <w:numId w:val="1"/>
        </w:numPr>
        <w:tabs>
          <w:tab w:val="right" w:pos="-284"/>
          <w:tab w:val="right" w:pos="283"/>
        </w:tabs>
        <w:bidi/>
        <w:spacing w:line="240" w:lineRule="auto"/>
        <w:ind w:left="-284" w:firstLine="0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r w:rsidRPr="00DF507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محاربة عملية ختان المرأة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</w:t>
      </w:r>
      <w:proofErr w:type="gram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مصر</w:t>
      </w:r>
      <w:proofErr w:type="gramEnd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واليمن ودول الخليج</w:t>
      </w:r>
      <w:r w:rsidR="004C0E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4C0E95" w:rsidRPr="004C0E95" w:rsidRDefault="004C0E95" w:rsidP="004C0E95">
      <w:pPr>
        <w:pStyle w:val="Paragraphedeliste"/>
        <w:numPr>
          <w:ilvl w:val="0"/>
          <w:numId w:val="1"/>
        </w:numPr>
        <w:tabs>
          <w:tab w:val="right" w:pos="-284"/>
          <w:tab w:val="right" w:pos="283"/>
        </w:tabs>
        <w:bidi/>
        <w:spacing w:line="240" w:lineRule="auto"/>
        <w:ind w:left="-284" w:firstLine="0"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4C0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سياقة</w:t>
      </w:r>
      <w:proofErr w:type="spellEnd"/>
      <w:r w:rsidRPr="004C0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السيارة</w:t>
      </w:r>
      <w:r w:rsidRPr="004C0E9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وتمكنت المرأة من نيل هذا المطلب </w:t>
      </w:r>
    </w:p>
    <w:p w:rsidR="00534E63" w:rsidRPr="00BF66F7" w:rsidRDefault="00534E63" w:rsidP="00BF66F7">
      <w:pPr>
        <w:tabs>
          <w:tab w:val="right" w:pos="-284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</w:pPr>
      <w:proofErr w:type="spellStart"/>
      <w:r w:rsidRPr="00BF66F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السلبي:</w:t>
      </w:r>
      <w:proofErr w:type="spellEnd"/>
      <w:r w:rsidR="00BF66F7" w:rsidRPr="00BF66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F66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BF66F7" w:rsidRPr="00BF66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نشر ثقافة الطلاق في المجتمعات الاسلامية بديلا للمصالحة</w:t>
      </w:r>
    </w:p>
    <w:p w:rsidR="005A715F" w:rsidRPr="00534E63" w:rsidRDefault="005A715F" w:rsidP="00BF66F7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line="240" w:lineRule="auto"/>
        <w:ind w:left="-284" w:firstLine="0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تطالب الحركة </w:t>
      </w:r>
      <w:proofErr w:type="spellStart"/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>النسوية</w:t>
      </w:r>
      <w:proofErr w:type="spellEnd"/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بأن تعقد 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المرأة </w:t>
      </w:r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نكاحها بدون </w:t>
      </w:r>
      <w:proofErr w:type="spellStart"/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>ولي،</w:t>
      </w:r>
      <w:proofErr w:type="spellEnd"/>
      <w:r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وهذا ما يخالف الشريعة الاسلامية</w:t>
      </w:r>
      <w:r w:rsidR="003774B7" w:rsidRPr="00534E63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534E63" w:rsidRPr="00DF507E" w:rsidRDefault="00534E63" w:rsidP="00BF66F7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line="240" w:lineRule="auto"/>
        <w:ind w:left="-142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المساواة في ا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لميراث بين </w:t>
      </w:r>
      <w:proofErr w:type="spellStart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المراة</w:t>
      </w:r>
      <w:proofErr w:type="spellEnd"/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والرجل في المج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تمعات الاسلامية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3774B7" w:rsidRPr="00DF507E" w:rsidRDefault="003774B7" w:rsidP="00AA6C9B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line="240" w:lineRule="auto"/>
        <w:ind w:left="-142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زواج المثليين ورفض الزواج </w:t>
      </w:r>
      <w:proofErr w:type="gramStart"/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الطبيعي</w:t>
      </w:r>
      <w:r w:rsidR="00BF66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 w:rsidR="00AA6C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 w:rsidR="00BF66F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F507E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proofErr w:type="gramEnd"/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رفض ال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سر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والزواج رفض ال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موم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وال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إ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نجاب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</w:t>
      </w:r>
    </w:p>
    <w:p w:rsidR="005A715F" w:rsidRPr="00BF66F7" w:rsidRDefault="005A715F" w:rsidP="00AA6C9B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after="0" w:line="240" w:lineRule="auto"/>
        <w:ind w:left="-142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أظهر المؤتمر </w:t>
      </w:r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العالمي الرابع المعني بالمر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أة</w:t>
      </w:r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في </w:t>
      </w:r>
      <w:proofErr w:type="spellStart"/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بيكين</w:t>
      </w:r>
      <w:proofErr w:type="spellEnd"/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عام </w:t>
      </w:r>
      <w:proofErr w:type="spellStart"/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1995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عباره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 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sexueal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 xml:space="preserve"> orientation 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كمصطلح للشذوذ الجنسي كحق من حقوق الانسان في نص الماده 622 من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highlight w:val="yellow"/>
          <w:rtl/>
          <w:lang w:eastAsia="fr-FR"/>
        </w:rPr>
        <w:t>وثيقته</w:t>
      </w:r>
      <w:r w:rsidRPr="00BF66F7">
        <w:rPr>
          <w:rFonts w:ascii="Traditional Arabic" w:eastAsia="Times New Roman" w:hAnsi="Traditional Arabic" w:cs="Traditional Arabic"/>
          <w:sz w:val="28"/>
          <w:szCs w:val="28"/>
          <w:highlight w:val="yellow"/>
          <w:rtl/>
          <w:lang w:eastAsia="fr-FR"/>
        </w:rPr>
        <w:t>،</w:t>
      </w:r>
      <w:proofErr w:type="spellEnd"/>
      <w:r w:rsidRPr="00BF66F7">
        <w:rPr>
          <w:rFonts w:ascii="Traditional Arabic" w:eastAsia="Times New Roman" w:hAnsi="Traditional Arabic" w:cs="Traditional Arabic"/>
          <w:sz w:val="28"/>
          <w:szCs w:val="28"/>
          <w:highlight w:val="yellow"/>
          <w:rtl/>
          <w:lang w:eastAsia="fr-FR"/>
        </w:rPr>
        <w:t xml:space="preserve"> 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highlight w:val="yellow"/>
          <w:rtl/>
          <w:lang w:eastAsia="fr-FR"/>
        </w:rPr>
        <w:t>وفي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2000 عقد مؤتمر الخامس في نيويورك بالولايات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المتحده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الامريكيه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الذي 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علن ال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مين العام فيه بيانا يساوي المتزوجين بالمتزوجين الشواذ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بالتقليديين،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</w:p>
    <w:p w:rsidR="00E95A4E" w:rsidRPr="00BF66F7" w:rsidRDefault="00E95A4E" w:rsidP="00BF66F7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after="0" w:line="240" w:lineRule="auto"/>
        <w:ind w:left="-142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المناداه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بالعداء بين الجنسين والحرب ضد الرجل</w:t>
      </w:r>
      <w:r w:rsidR="00BF66F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   </w:t>
      </w:r>
    </w:p>
    <w:p w:rsidR="00E95A4E" w:rsidRPr="004C0E95" w:rsidRDefault="00E95A4E" w:rsidP="004C0E95">
      <w:pPr>
        <w:pStyle w:val="Paragraphedeliste"/>
        <w:numPr>
          <w:ilvl w:val="0"/>
          <w:numId w:val="5"/>
        </w:numPr>
        <w:tabs>
          <w:tab w:val="right" w:pos="-284"/>
        </w:tabs>
        <w:bidi/>
        <w:spacing w:after="0" w:line="240" w:lineRule="auto"/>
        <w:ind w:left="-142"/>
        <w:jc w:val="both"/>
        <w:rPr>
          <w:rFonts w:ascii="Traditional Arabic" w:eastAsia="Times New Roman" w:hAnsi="Traditional Arabic" w:cs="Traditional Arabic" w:hint="cs"/>
          <w:sz w:val="28"/>
          <w:szCs w:val="28"/>
          <w:lang w:eastAsia="fr-FR"/>
        </w:rPr>
      </w:pPr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زعم ملكي</w:t>
      </w:r>
      <w:r w:rsidR="00AA6C9B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</w:t>
      </w:r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المراه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لجسدها: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نادت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الحركه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النسوي</w:t>
      </w:r>
      <w:r w:rsidR="004C0E9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4C0E9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</w:t>
      </w:r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ن المر</w:t>
      </w:r>
      <w:r w:rsidR="004C0E9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أة</w:t>
      </w:r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تملك جسدها وهي دعوه تقتضي امور عده منها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الدعوه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الى </w:t>
      </w:r>
      <w:proofErr w:type="spellStart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الاباحيه</w:t>
      </w:r>
      <w:proofErr w:type="spellEnd"/>
      <w:r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الجنسيه رفض الانجاب التبرج الشديد </w:t>
      </w:r>
      <w:r w:rsidR="00BF66F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و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تسهيل موانع الحمل</w:t>
      </w:r>
      <w:r w:rsidR="00BF66F7"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وحق </w:t>
      </w:r>
      <w:proofErr w:type="spellStart"/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المراه</w:t>
      </w:r>
      <w:proofErr w:type="spellEnd"/>
      <w:r w:rsidR="00BF66F7" w:rsidRPr="00534E63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في اجهاض جنينها</w:t>
      </w:r>
      <w:r w:rsidR="00BF66F7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 xml:space="preserve"> </w:t>
      </w:r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مما يسهل تحرر </w:t>
      </w:r>
      <w:proofErr w:type="spellStart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المراه</w:t>
      </w:r>
      <w:proofErr w:type="spellEnd"/>
      <w:r w:rsidRPr="00BF66F7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من ادوارها التقليديه والتمتع بجسدها وعلاقتها الجنسي</w:t>
      </w:r>
      <w:r w:rsidR="004C0E95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ة.</w:t>
      </w:r>
    </w:p>
    <w:p w:rsidR="004C0E95" w:rsidRPr="004C0E95" w:rsidRDefault="004C0E95" w:rsidP="004C0E95">
      <w:pPr>
        <w:tabs>
          <w:tab w:val="right" w:pos="-284"/>
        </w:tabs>
        <w:bidi/>
        <w:spacing w:after="0" w:line="240" w:lineRule="auto"/>
        <w:ind w:left="-502"/>
        <w:jc w:val="both"/>
        <w:rPr>
          <w:rFonts w:ascii="Traditional Arabic" w:eastAsia="Times New Roman" w:hAnsi="Traditional Arabic" w:cs="Traditional Arabic" w:hint="cs"/>
          <w:sz w:val="28"/>
          <w:szCs w:val="28"/>
          <w:lang w:eastAsia="fr-FR"/>
        </w:rPr>
      </w:pPr>
    </w:p>
    <w:p w:rsidR="00534E63" w:rsidRPr="00534E63" w:rsidRDefault="00534E63" w:rsidP="00534E63">
      <w:pPr>
        <w:tabs>
          <w:tab w:val="right" w:pos="-284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</w:p>
    <w:p w:rsidR="00E95A4E" w:rsidRPr="00DF507E" w:rsidRDefault="00E95A4E" w:rsidP="00DF507E">
      <w:pPr>
        <w:tabs>
          <w:tab w:val="right" w:pos="-284"/>
        </w:tabs>
        <w:bidi/>
        <w:spacing w:after="0" w:line="240" w:lineRule="auto"/>
        <w:ind w:left="-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E95A4E" w:rsidRPr="00DF507E" w:rsidSect="004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63" w:rsidRDefault="00413363" w:rsidP="005A715F">
      <w:pPr>
        <w:spacing w:after="0" w:line="240" w:lineRule="auto"/>
      </w:pPr>
      <w:r>
        <w:separator/>
      </w:r>
    </w:p>
  </w:endnote>
  <w:endnote w:type="continuationSeparator" w:id="0">
    <w:p w:rsidR="00413363" w:rsidRDefault="00413363" w:rsidP="005A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63" w:rsidRDefault="00413363" w:rsidP="005A715F">
      <w:pPr>
        <w:spacing w:after="0" w:line="240" w:lineRule="auto"/>
      </w:pPr>
      <w:r>
        <w:separator/>
      </w:r>
    </w:p>
  </w:footnote>
  <w:footnote w:type="continuationSeparator" w:id="0">
    <w:p w:rsidR="00413363" w:rsidRDefault="00413363" w:rsidP="005A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37"/>
    <w:multiLevelType w:val="hybridMultilevel"/>
    <w:tmpl w:val="2A7051FA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E016C28"/>
    <w:multiLevelType w:val="hybridMultilevel"/>
    <w:tmpl w:val="396AE170"/>
    <w:lvl w:ilvl="0" w:tplc="657C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0412A"/>
    <w:multiLevelType w:val="hybridMultilevel"/>
    <w:tmpl w:val="52BC531E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EE641ED"/>
    <w:multiLevelType w:val="hybridMultilevel"/>
    <w:tmpl w:val="294809F0"/>
    <w:lvl w:ilvl="0" w:tplc="657C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44CC7"/>
    <w:multiLevelType w:val="hybridMultilevel"/>
    <w:tmpl w:val="E126EC1C"/>
    <w:lvl w:ilvl="0" w:tplc="3DA42D78">
      <w:start w:val="1"/>
      <w:numFmt w:val="arabicAlpha"/>
      <w:lvlText w:val="%1-"/>
      <w:lvlJc w:val="left"/>
      <w:pPr>
        <w:ind w:left="43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49" w:hanging="360"/>
      </w:pPr>
    </w:lvl>
    <w:lvl w:ilvl="2" w:tplc="040C001B" w:tentative="1">
      <w:start w:val="1"/>
      <w:numFmt w:val="lowerRoman"/>
      <w:lvlText w:val="%3."/>
      <w:lvlJc w:val="right"/>
      <w:pPr>
        <w:ind w:left="5769" w:hanging="180"/>
      </w:pPr>
    </w:lvl>
    <w:lvl w:ilvl="3" w:tplc="040C000F" w:tentative="1">
      <w:start w:val="1"/>
      <w:numFmt w:val="decimal"/>
      <w:lvlText w:val="%4."/>
      <w:lvlJc w:val="left"/>
      <w:pPr>
        <w:ind w:left="6489" w:hanging="360"/>
      </w:pPr>
    </w:lvl>
    <w:lvl w:ilvl="4" w:tplc="040C0019" w:tentative="1">
      <w:start w:val="1"/>
      <w:numFmt w:val="lowerLetter"/>
      <w:lvlText w:val="%5."/>
      <w:lvlJc w:val="left"/>
      <w:pPr>
        <w:ind w:left="7209" w:hanging="360"/>
      </w:pPr>
    </w:lvl>
    <w:lvl w:ilvl="5" w:tplc="040C001B" w:tentative="1">
      <w:start w:val="1"/>
      <w:numFmt w:val="lowerRoman"/>
      <w:lvlText w:val="%6."/>
      <w:lvlJc w:val="right"/>
      <w:pPr>
        <w:ind w:left="7929" w:hanging="180"/>
      </w:pPr>
    </w:lvl>
    <w:lvl w:ilvl="6" w:tplc="040C000F" w:tentative="1">
      <w:start w:val="1"/>
      <w:numFmt w:val="decimal"/>
      <w:lvlText w:val="%7."/>
      <w:lvlJc w:val="left"/>
      <w:pPr>
        <w:ind w:left="8649" w:hanging="360"/>
      </w:pPr>
    </w:lvl>
    <w:lvl w:ilvl="7" w:tplc="040C0019" w:tentative="1">
      <w:start w:val="1"/>
      <w:numFmt w:val="lowerLetter"/>
      <w:lvlText w:val="%8."/>
      <w:lvlJc w:val="left"/>
      <w:pPr>
        <w:ind w:left="9369" w:hanging="360"/>
      </w:pPr>
    </w:lvl>
    <w:lvl w:ilvl="8" w:tplc="040C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>
    <w:nsid w:val="538F6BD4"/>
    <w:multiLevelType w:val="hybridMultilevel"/>
    <w:tmpl w:val="294809F0"/>
    <w:lvl w:ilvl="0" w:tplc="657C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56"/>
    <w:rsid w:val="00022ED2"/>
    <w:rsid w:val="00183311"/>
    <w:rsid w:val="001C6E49"/>
    <w:rsid w:val="00257910"/>
    <w:rsid w:val="002B77CD"/>
    <w:rsid w:val="003774B7"/>
    <w:rsid w:val="00413363"/>
    <w:rsid w:val="004B2145"/>
    <w:rsid w:val="004C0E95"/>
    <w:rsid w:val="004E7910"/>
    <w:rsid w:val="004F57AF"/>
    <w:rsid w:val="00534E63"/>
    <w:rsid w:val="005A715F"/>
    <w:rsid w:val="006E0B64"/>
    <w:rsid w:val="00734EE9"/>
    <w:rsid w:val="00794493"/>
    <w:rsid w:val="008374CD"/>
    <w:rsid w:val="00861B46"/>
    <w:rsid w:val="009273D7"/>
    <w:rsid w:val="009579B3"/>
    <w:rsid w:val="00AA6C9B"/>
    <w:rsid w:val="00BF66F7"/>
    <w:rsid w:val="00DF507E"/>
    <w:rsid w:val="00E95A4E"/>
    <w:rsid w:val="00EB2A79"/>
    <w:rsid w:val="00F9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E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E4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1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1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7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الخ8ه</b:Tag>
    <b:SourceType>Book</b:SourceType>
    <b:Guid>{8AE16D6F-365B-46C1-89B0-0AE934C2CB20}</b:Guid>
    <b:LCID>0</b:LCID>
    <b:Author>
      <b:Author>
        <b:NameList>
          <b:Person>
            <b:Last>الخضري</b:Last>
            <b:First>أبو</b:First>
            <b:Middle>القاسم</b:Middle>
          </b:Person>
        </b:NameList>
      </b:Author>
    </b:Author>
    <b:Title>الحركة النسوية في اليمن: تاريخها ..وواقعها</b:Title>
    <b:Year>1428ه</b:Year>
    <b:City>الرياض</b:City>
    <b:Publisher>مجلة البيان</b:Publisher>
    <b:RefOrder>1</b:RefOrder>
  </b:Source>
  <b:Source>
    <b:Tag>سنا</b:Tag>
    <b:SourceType>Book</b:SourceType>
    <b:Guid>{5FB4049C-3F60-49DE-8D78-9BB63EE0A63F}</b:Guid>
    <b:LCID>0</b:LCID>
    <b:Author>
      <b:Author>
        <b:NameList>
          <b:Person>
            <b:Last>بارة</b:Last>
            <b:First>سناء</b:First>
            <b:Middle>الحاج</b:Middle>
          </b:Person>
        </b:NameList>
      </b:Author>
    </b:Author>
    <b:Title>دراسة لواقع الحركة النسوية في سورية: مشروع التخرج صناعة المحاور</b:Title>
    <b:RefOrder>2</b:RefOrder>
  </b:Source>
</b:Sources>
</file>

<file path=customXml/itemProps1.xml><?xml version="1.0" encoding="utf-8"?>
<ds:datastoreItem xmlns:ds="http://schemas.openxmlformats.org/officeDocument/2006/customXml" ds:itemID="{6D334EA6-8910-41F7-8105-98F82043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2024-10-07T09:07:00Z</dcterms:created>
  <dcterms:modified xsi:type="dcterms:W3CDTF">2024-12-09T13:56:00Z</dcterms:modified>
</cp:coreProperties>
</file>