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D5" w:rsidRDefault="00871ADF" w:rsidP="00871AD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الأول: </w:t>
      </w:r>
      <w:r w:rsidRPr="00871AD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بطاقة التعريفية</w:t>
      </w:r>
    </w:p>
    <w:p w:rsidR="00871ADF" w:rsidRDefault="00871ADF" w:rsidP="00871AD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الأستاذة: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بوشريط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حسناء</w:t>
      </w:r>
    </w:p>
    <w:p w:rsidR="00871ADF" w:rsidRDefault="00871ADF" w:rsidP="00871ADF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البريد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الالكتروني: 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h.bouchritte@univ-biskra.dz</w:t>
      </w:r>
    </w:p>
    <w:p w:rsidR="00871ADF" w:rsidRDefault="00871ADF" w:rsidP="00871AD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مقياس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قيود الملكية العقارية</w:t>
      </w:r>
    </w:p>
    <w:p w:rsidR="00871ADF" w:rsidRDefault="00871ADF" w:rsidP="00871AD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الوحدة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وحدة التعليم</w:t>
      </w:r>
      <w:r w:rsidR="007D05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استكشافية</w:t>
      </w:r>
    </w:p>
    <w:p w:rsidR="007D0516" w:rsidRDefault="007D0516" w:rsidP="007D051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المستوى: سنة أولى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السداسي الأول-</w:t>
      </w:r>
    </w:p>
    <w:p w:rsidR="00BD114A" w:rsidRDefault="00BD114A" w:rsidP="00BD114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الحجم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الأسبوعي:15 أسبوع</w:t>
      </w:r>
    </w:p>
    <w:p w:rsidR="007D0516" w:rsidRDefault="007D0516" w:rsidP="007D051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الحجم الساعي: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ساعة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ونصف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محاضرة- </w:t>
      </w:r>
    </w:p>
    <w:p w:rsidR="00BD114A" w:rsidRDefault="00BD114A" w:rsidP="00BD114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طريقة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التقييم: امتحان في نهاية السداسي</w:t>
      </w:r>
    </w:p>
    <w:p w:rsidR="00BD114A" w:rsidRDefault="00BD114A" w:rsidP="00BD114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المعامل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01</w:t>
      </w:r>
    </w:p>
    <w:p w:rsidR="00BD114A" w:rsidRDefault="00BD114A" w:rsidP="00BD114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-الرصيد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01</w:t>
      </w:r>
    </w:p>
    <w:p w:rsidR="00E465B4" w:rsidRPr="00205492" w:rsidRDefault="00E465B4" w:rsidP="00E465B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054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المحور</w:t>
      </w:r>
      <w:proofErr w:type="gramEnd"/>
      <w:r w:rsidRPr="002054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الثاني:</w:t>
      </w: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أهداف التعليم</w:t>
      </w:r>
    </w:p>
    <w:p w:rsidR="00E465B4" w:rsidRPr="00205492" w:rsidRDefault="00E465B4" w:rsidP="00E465B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تهدف</w:t>
      </w:r>
      <w:proofErr w:type="gramEnd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هذه المادة إلى تبيان القيود الواردة على مختلف أنواع الملكية </w:t>
      </w:r>
      <w:proofErr w:type="spellStart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الملكية</w:t>
      </w:r>
      <w:proofErr w:type="spellEnd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العقارية، فالشخص وإن كانت له الحرية في أملاكه إلا أنه مقيد بقيود قانونية يتعرف عليها الطالب من خلال هذه المادة.</w:t>
      </w:r>
    </w:p>
    <w:p w:rsidR="00E465B4" w:rsidRPr="00205492" w:rsidRDefault="00E465B4" w:rsidP="00E465B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المحور الثالث</w:t>
      </w: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المعارف المسبقة</w:t>
      </w:r>
    </w:p>
    <w:p w:rsidR="00E465B4" w:rsidRPr="00205492" w:rsidRDefault="00E465B4" w:rsidP="00E465B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proofErr w:type="gramEnd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بين المقاييس التي تساعد الطالب على استيعاب المقياس، مدخل للقانون (نظرية الحق)، القانون المدني، الأملاك العقارية.. وغيرها</w:t>
      </w:r>
    </w:p>
    <w:p w:rsidR="00E465B4" w:rsidRPr="00205492" w:rsidRDefault="00E465B4" w:rsidP="00E465B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054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>المحور</w:t>
      </w:r>
      <w:proofErr w:type="gramEnd"/>
      <w:r w:rsidRPr="002054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الرابع</w:t>
      </w: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الخريطة الذهنية للمقياس</w:t>
      </w:r>
    </w:p>
    <w:p w:rsidR="00E465B4" w:rsidRPr="00205492" w:rsidRDefault="00E465B4" w:rsidP="00E465B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130.9pt;margin-top:111.4pt;width:26.25pt;height:7.15pt;z-index:251661312"/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05.65pt;margin-top:104.25pt;width:24pt;height:7.15pt;z-index:251660288"/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shape id="_x0000_s1029" type="#_x0000_t66" style="position:absolute;left:0;text-align:left;margin-left:130.9pt;margin-top:111.4pt;width:26.25pt;height:7.15pt;z-index:251663360"/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shape id="_x0000_s1028" type="#_x0000_t13" style="position:absolute;left:0;text-align:left;margin-left:305.65pt;margin-top:104.25pt;width:24pt;height:7.15pt;z-index:251662336"/>
        </w:pict>
      </w:r>
    </w:p>
    <w:p w:rsidR="00E465B4" w:rsidRPr="00205492" w:rsidRDefault="00E465B4" w:rsidP="00E465B4">
      <w:pPr>
        <w:tabs>
          <w:tab w:val="left" w:pos="3582"/>
        </w:tabs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</w:pPr>
      <w:r w:rsidRPr="00205492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DZ"/>
        </w:rPr>
        <w:tab/>
      </w:r>
      <w:proofErr w:type="gramStart"/>
      <w:r w:rsidRPr="00205492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>قيود</w:t>
      </w:r>
      <w:proofErr w:type="gramEnd"/>
      <w:r w:rsidRPr="00205492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DZ"/>
        </w:rPr>
        <w:t xml:space="preserve"> الملكية العقارية</w:t>
      </w:r>
    </w:p>
    <w:tbl>
      <w:tblPr>
        <w:tblpPr w:leftFromText="141" w:rightFromText="141" w:vertAnchor="text" w:tblpX="-277" w:tblpY="1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20"/>
      </w:tblGrid>
      <w:tr w:rsidR="00E465B4" w:rsidRPr="00205492" w:rsidTr="005E74F6">
        <w:trPr>
          <w:trHeight w:val="930"/>
        </w:trPr>
        <w:tc>
          <w:tcPr>
            <w:tcW w:w="2820" w:type="dxa"/>
            <w:tcBorders>
              <w:bottom w:val="single" w:sz="4" w:space="0" w:color="auto"/>
            </w:tcBorders>
          </w:tcPr>
          <w:p w:rsidR="00E465B4" w:rsidRPr="00205492" w:rsidRDefault="00E465B4" w:rsidP="005E74F6">
            <w:pPr>
              <w:tabs>
                <w:tab w:val="left" w:pos="6567"/>
              </w:tabs>
              <w:bidi/>
              <w:jc w:val="right"/>
              <w:rPr>
                <w:rFonts w:ascii="Algerian" w:hAnsi="Algerian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205492">
              <w:rPr>
                <w:rFonts w:ascii="Algerian" w:hAnsi="Algerian" w:cs="Simplified Arabic"/>
                <w:b/>
                <w:bCs/>
                <w:sz w:val="28"/>
                <w:szCs w:val="28"/>
                <w:rtl/>
                <w:lang w:bidi="ar-DZ"/>
              </w:rPr>
              <w:t>القيود المقررة للمصلحة العامة</w:t>
            </w:r>
          </w:p>
        </w:tc>
      </w:tr>
    </w:tbl>
    <w:tbl>
      <w:tblPr>
        <w:tblpPr w:leftFromText="141" w:rightFromText="141" w:vertAnchor="text" w:tblpX="6057" w:tblpY="466"/>
        <w:bidiVisual/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"/>
      </w:tblGrid>
      <w:tr w:rsidR="00E465B4" w:rsidRPr="00205492" w:rsidTr="005E74F6">
        <w:trPr>
          <w:trHeight w:val="225"/>
        </w:trPr>
        <w:tc>
          <w:tcPr>
            <w:tcW w:w="0" w:type="dxa"/>
            <w:tcBorders>
              <w:left w:val="nil"/>
            </w:tcBorders>
          </w:tcPr>
          <w:p w:rsidR="00E465B4" w:rsidRPr="00205492" w:rsidRDefault="00E465B4" w:rsidP="005E74F6">
            <w:pPr>
              <w:tabs>
                <w:tab w:val="left" w:pos="6567"/>
              </w:tabs>
              <w:bidi/>
              <w:jc w:val="righ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tbl>
      <w:tblPr>
        <w:tblpPr w:leftFromText="141" w:rightFromText="141" w:vertAnchor="text" w:tblpX="6788" w:tblpY="3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5"/>
      </w:tblGrid>
      <w:tr w:rsidR="00E465B4" w:rsidRPr="00205492" w:rsidTr="005E74F6">
        <w:trPr>
          <w:trHeight w:val="90"/>
        </w:trPr>
        <w:tc>
          <w:tcPr>
            <w:tcW w:w="2865" w:type="dxa"/>
            <w:shd w:val="clear" w:color="auto" w:fill="auto"/>
          </w:tcPr>
          <w:p w:rsidR="00E465B4" w:rsidRPr="00205492" w:rsidRDefault="00E465B4" w:rsidP="005E74F6">
            <w:pPr>
              <w:tabs>
                <w:tab w:val="left" w:pos="6567"/>
              </w:tabs>
              <w:bidi/>
              <w:jc w:val="right"/>
              <w:rPr>
                <w:rFonts w:ascii="Lucida Sans Typewriter" w:hAnsi="Lucida Sans Typewriter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205492">
              <w:rPr>
                <w:rFonts w:ascii="Lucida Sans Typewriter" w:hAnsi="Lucida Sans Typewriter" w:cs="Simplified Arabic"/>
                <w:b/>
                <w:bCs/>
                <w:sz w:val="28"/>
                <w:szCs w:val="28"/>
                <w:rtl/>
                <w:lang w:bidi="ar-DZ"/>
              </w:rPr>
              <w:t>القيود المقررة للمصلحة الخاصة</w:t>
            </w:r>
          </w:p>
        </w:tc>
      </w:tr>
    </w:tbl>
    <w:p w:rsidR="00E465B4" w:rsidRPr="00205492" w:rsidRDefault="00E465B4" w:rsidP="00E465B4">
      <w:pPr>
        <w:tabs>
          <w:tab w:val="left" w:pos="6567"/>
        </w:tabs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9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القيود المقررة للمصلحة العامة </w:t>
      </w:r>
    </w:p>
    <w:p w:rsidR="00E465B4" w:rsidRPr="00205492" w:rsidRDefault="00E465B4" w:rsidP="00E465B4">
      <w:pPr>
        <w:bidi/>
        <w:ind w:firstLine="708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465B4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465B4" w:rsidRPr="00205492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proofErr w:type="gramStart"/>
      <w:r w:rsidRPr="002054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المحور</w:t>
      </w:r>
      <w:proofErr w:type="gramEnd"/>
      <w:r w:rsidRPr="002054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الخامس:</w:t>
      </w: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المخطط العام للمقياس</w:t>
      </w:r>
    </w:p>
    <w:p w:rsidR="00E465B4" w:rsidRPr="00205492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الأول: القيود المقررة للمصلحة الخاصة</w:t>
      </w:r>
    </w:p>
    <w:p w:rsidR="00E465B4" w:rsidRPr="00205492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أولا: قيود الجوار والارتفاقات المدنية</w:t>
      </w:r>
    </w:p>
    <w:p w:rsidR="00E465B4" w:rsidRPr="00205492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ثانيا: حق الشفعة</w:t>
      </w:r>
    </w:p>
    <w:p w:rsidR="00E465B4" w:rsidRPr="00205492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ثالثا:شرط المنع من التصرف</w:t>
      </w:r>
    </w:p>
    <w:p w:rsidR="00E465B4" w:rsidRPr="00205492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رابعا:التعسف في استعمال الملكية</w:t>
      </w:r>
    </w:p>
    <w:p w:rsidR="00E465B4" w:rsidRPr="00205492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الثاني: القيود المقررة للمصلحة الخاصة</w:t>
      </w:r>
    </w:p>
    <w:p w:rsidR="00E465B4" w:rsidRPr="00205492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أولا: نزع الملكية من أجل المنفعة العامة</w:t>
      </w:r>
    </w:p>
    <w:p w:rsidR="00E465B4" w:rsidRPr="00205492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ثانيا: </w:t>
      </w:r>
      <w:proofErr w:type="gramStart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مخططات</w:t>
      </w:r>
      <w:proofErr w:type="gramEnd"/>
      <w:r w:rsidRPr="002054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وقرارات التعمير.</w:t>
      </w:r>
    </w:p>
    <w:p w:rsidR="00E465B4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054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المحور</w:t>
      </w:r>
      <w:proofErr w:type="gramEnd"/>
      <w:r w:rsidRPr="002054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السادس: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الدرس التفاعلي</w:t>
      </w:r>
    </w:p>
    <w:p w:rsidR="00E465B4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كل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أسبوع مبرمجة حصة عن بعد عن طريق الدخول للرابط الالكتروني في التوقيت المبرمج: </w:t>
      </w:r>
    </w:p>
    <w:p w:rsidR="00E465B4" w:rsidRPr="006C5EC6" w:rsidRDefault="00E465B4" w:rsidP="00E465B4">
      <w:pPr>
        <w:jc w:val="right"/>
        <w:rPr>
          <w:b/>
          <w:bCs/>
        </w:rPr>
      </w:pPr>
      <w:r w:rsidRPr="006C5EC6">
        <w:rPr>
          <w:b/>
          <w:bCs/>
        </w:rPr>
        <w:t>https://meet.google.com/sey-sxov-mxi</w:t>
      </w:r>
    </w:p>
    <w:p w:rsidR="00E465B4" w:rsidRPr="006C5EC6" w:rsidRDefault="00E465B4" w:rsidP="00E465B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465B4" w:rsidRPr="00871ADF" w:rsidRDefault="00E465B4" w:rsidP="00E465B4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sectPr w:rsidR="00E465B4" w:rsidRPr="00871ADF" w:rsidSect="0093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871ADF"/>
    <w:rsid w:val="007D0516"/>
    <w:rsid w:val="00817B05"/>
    <w:rsid w:val="00871ADF"/>
    <w:rsid w:val="00931AD5"/>
    <w:rsid w:val="00BD114A"/>
    <w:rsid w:val="00E4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2024-10-24T04:38:00Z</dcterms:created>
  <dcterms:modified xsi:type="dcterms:W3CDTF">2024-10-24T06:41:00Z</dcterms:modified>
</cp:coreProperties>
</file>