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19" w:rsidRPr="00FB7719" w:rsidRDefault="00D91077" w:rsidP="00FB7719">
      <w:pPr>
        <w:pStyle w:val="Titre2"/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TP </w:t>
      </w:r>
      <w:r w:rsidR="00FB7719" w:rsidRPr="00FB7719">
        <w:rPr>
          <w:rFonts w:asciiTheme="majorBidi" w:hAnsiTheme="majorBidi" w:cstheme="majorBidi"/>
          <w:sz w:val="22"/>
          <w:szCs w:val="22"/>
          <w:lang w:val="fr-FR"/>
        </w:rPr>
        <w:t>3</w:t>
      </w:r>
      <w:r w:rsidR="00FB7719">
        <w:rPr>
          <w:rFonts w:asciiTheme="majorBidi" w:hAnsiTheme="majorBidi" w:cstheme="majorBidi"/>
          <w:sz w:val="22"/>
          <w:szCs w:val="22"/>
          <w:lang w:val="fr-FR"/>
        </w:rPr>
        <w:t xml:space="preserve"> : </w:t>
      </w:r>
      <w:r w:rsidR="00FB7719" w:rsidRPr="00FB7719">
        <w:rPr>
          <w:rFonts w:asciiTheme="majorBidi" w:hAnsiTheme="majorBidi" w:cstheme="majorBidi"/>
          <w:sz w:val="22"/>
          <w:szCs w:val="22"/>
          <w:lang w:val="fr-FR"/>
        </w:rPr>
        <w:t xml:space="preserve">Le modèle de </w:t>
      </w:r>
      <w:proofErr w:type="spellStart"/>
      <w:r w:rsidR="00FB7719" w:rsidRPr="00FB7719">
        <w:rPr>
          <w:rFonts w:asciiTheme="majorBidi" w:hAnsiTheme="majorBidi" w:cstheme="majorBidi"/>
          <w:sz w:val="22"/>
          <w:szCs w:val="22"/>
          <w:lang w:val="fr-FR"/>
        </w:rPr>
        <w:t>Nayar</w:t>
      </w:r>
      <w:proofErr w:type="spellEnd"/>
    </w:p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Plusieurs expériences menées par 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Nayar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montrent que le coefficient de Fresnel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52400" cy="133350"/>
            <wp:effectExtent l="19050" t="0" r="0" b="0"/>
            <wp:docPr id="271" name="Image 271" descr="$ 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$ F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et le facteur d'atténuation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61925" cy="142875"/>
            <wp:effectExtent l="19050" t="0" r="9525" b="0"/>
            <wp:docPr id="272" name="Image 272" descr="$ 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$ G$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>du modèle de Torrance-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Sparrow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 restent approximativement constants en fonction de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61925" cy="276225"/>
            <wp:effectExtent l="0" t="0" r="9525" b="0"/>
            <wp:docPr id="273" name="Image 273" descr="$ \theta_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$ \theta_i$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et </w:t>
      </w:r>
      <w:proofErr w:type="gramEnd"/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80975" cy="276225"/>
            <wp:effectExtent l="19050" t="0" r="0" b="0"/>
            <wp:docPr id="274" name="Image 274" descr="$ \theta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$ \theta_r$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. Le coefficient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275" name="Image 275" descr="$ \kappa_{spec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$ \kappa_{spec}$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peut donc être considéré comme constant. De plus si l'on se place dans un protocole expérimental où la source est variable tandis que la direction d'observation reste constante, les angles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80975" cy="276225"/>
            <wp:effectExtent l="19050" t="0" r="0" b="0"/>
            <wp:docPr id="276" name="Image 276" descr="$ \theta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$ \theta_r$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et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200025" cy="276225"/>
            <wp:effectExtent l="19050" t="0" r="0" b="0"/>
            <wp:docPr id="277" name="Image 277" descr="$ \psi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$ \psi_r$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>peuvent être considérés comme constants. Sous ces conditions, l'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irradiance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du lobe spéculaire peut s'exprimer par :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3"/>
        <w:gridCol w:w="577"/>
      </w:tblGrid>
      <w:tr w:rsidR="00FB7719" w:rsidRPr="00FB7719" w:rsidTr="00FB771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bookmarkStart w:id="0" w:name="eq:nayard_ls_fp"/>
            <w:bookmarkEnd w:id="0"/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047750" cy="504825"/>
                  <wp:effectExtent l="19050" t="0" r="0" b="0"/>
                  <wp:docPr id="278" name="Image 278" descr="$\displaystyle I_{ls}=K_{ls}e^{-\frac{\alpha^2}{2\sigma_\alpha^2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$\displaystyle I_{ls}=K_{ls}e^{-\frac{\alpha^2}{2\sigma_\alpha^2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</w:rPr>
              <w:t>(2.12)</w:t>
            </w:r>
          </w:p>
        </w:tc>
      </w:tr>
    </w:tbl>
    <w:p w:rsidR="00FB7719" w:rsidRPr="00FB7719" w:rsidRDefault="00FB7719" w:rsidP="00FB7719">
      <w:pPr>
        <w:rPr>
          <w:rFonts w:asciiTheme="majorBidi" w:hAnsiTheme="majorBidi" w:cstheme="majorBidi"/>
          <w:lang w:val="fr-FR"/>
        </w:rPr>
      </w:pPr>
      <w:proofErr w:type="gramStart"/>
      <w:r w:rsidRPr="00FB7719">
        <w:rPr>
          <w:rFonts w:asciiTheme="majorBidi" w:hAnsiTheme="majorBidi" w:cstheme="majorBidi"/>
          <w:lang w:val="fr-FR"/>
        </w:rPr>
        <w:t>où</w:t>
      </w:r>
      <w:proofErr w:type="gramEnd"/>
      <w:r w:rsidRPr="00FB7719">
        <w:rPr>
          <w:rFonts w:asciiTheme="majorBidi" w:hAnsiTheme="majorBidi" w:cstheme="majorBidi"/>
          <w:lang w:val="fr-FR"/>
        </w:rPr>
        <w:t xml:space="preserve">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276225" cy="276225"/>
            <wp:effectExtent l="19050" t="0" r="9525" b="0"/>
            <wp:docPr id="279" name="Image 279" descr="$ K_{ls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$ K_{ls}$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est une constante dépendant du matériau et du protocole expérimental. </w:t>
      </w:r>
    </w:p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En revanche si l'on considère des variations simultanées de la source lumineuse et de l'observateur nous ne pouvons négliger le terme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657225" cy="295275"/>
            <wp:effectExtent l="19050" t="0" r="0" b="0"/>
            <wp:docPr id="280" name="Image 280" descr="$ 1/cos(\theta_r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$ 1/cos(\theta_r)$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>dans le modèle de Torrance-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Sparrow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(équation </w:t>
      </w:r>
      <w:hyperlink r:id="rId14" w:anchor="eq:kappa_spec" w:history="1">
        <w:r w:rsidRPr="00FB7719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2.10</w:t>
        </w:r>
      </w:hyperlink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).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L'expression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du lobe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spéculaire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devient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FB7719">
        <w:rPr>
          <w:rFonts w:asciiTheme="majorBidi" w:hAnsiTheme="majorBidi" w:cstheme="majorBidi"/>
          <w:sz w:val="22"/>
          <w:szCs w:val="22"/>
        </w:rPr>
        <w:t>alors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:</w:t>
      </w:r>
      <w:proofErr w:type="gram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3"/>
        <w:gridCol w:w="577"/>
      </w:tblGrid>
      <w:tr w:rsidR="00FB7719" w:rsidRPr="00FB7719" w:rsidTr="00FB771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bookmarkStart w:id="1" w:name="eq:nayard_ls_mp"/>
            <w:bookmarkEnd w:id="1"/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304925" cy="504825"/>
                  <wp:effectExtent l="19050" t="0" r="0" b="0"/>
                  <wp:docPr id="281" name="Image 281" descr="$\displaystyle I_{ls}=\frac{C_{ls}}{\cos(\theta_r)}e^{-\frac{\alpha^2}{2\sigma_\alpha^2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$\displaystyle I_{ls}=\frac{C_{ls}}{\cos(\theta_r)}e^{-\frac{\alpha^2}{2\sigma_\alpha^2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719">
              <w:rPr>
                <w:rFonts w:asciiTheme="majorBidi" w:hAnsiTheme="majorBidi" w:cstheme="majorBidi"/>
              </w:rPr>
              <w:t xml:space="preserve">avec </w:t>
            </w:r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971550" cy="485775"/>
                  <wp:effectExtent l="19050" t="0" r="0" b="0"/>
                  <wp:docPr id="282" name="Image 282" descr="$\displaystyle K_{ls}=\frac{C_{ls}}{\cos(\theta_r)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$\displaystyle K_{ls}=\frac{C_{ls}}{\cos(\theta_r)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</w:rPr>
              <w:t>(2.13)</w:t>
            </w:r>
          </w:p>
        </w:tc>
      </w:tr>
    </w:tbl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>Notons que l'équation </w:t>
      </w:r>
      <w:hyperlink r:id="rId17" w:anchor="eq:nayard_ls_mp" w:history="1">
        <w:r w:rsidRPr="00FB7719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2.13</w:t>
        </w:r>
      </w:hyperlink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devra être utilisée si l'on considère simultanément plusieurs pixels et donc plusieurs normales avec des angles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371475" cy="276225"/>
            <wp:effectExtent l="19050" t="0" r="0" b="0"/>
            <wp:docPr id="283" name="Image 283" descr="$ \theta_i,\theta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$ \theta_i,\theta_r$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et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200025" cy="276225"/>
            <wp:effectExtent l="19050" t="0" r="0" b="0"/>
            <wp:docPr id="284" name="Image 284" descr="$ \psi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$ \psi_r$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>différents. L'équation </w:t>
      </w:r>
      <w:hyperlink r:id="rId19" w:anchor="eq:nayard_ls_fp" w:history="1">
        <w:r w:rsidRPr="00FB7719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2.12</w:t>
        </w:r>
      </w:hyperlink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sera en revanche utilisée lorsque l'on considérera un même pixel soumis à différents 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illuminants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. Dans ce dernier cas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61925" cy="276225"/>
            <wp:effectExtent l="0" t="0" r="9525" b="0"/>
            <wp:docPr id="285" name="Image 285" descr="$ \theta_i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$ \theta_i$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et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33350" cy="133350"/>
            <wp:effectExtent l="19050" t="0" r="0" b="0"/>
            <wp:docPr id="286" name="Image 286" descr="$ 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$ \alpha $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sont variables tandis que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80975" cy="276225"/>
            <wp:effectExtent l="19050" t="0" r="0" b="0"/>
            <wp:docPr id="287" name="Image 287" descr="$ \theta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$ \theta_r$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et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200025" cy="276225"/>
            <wp:effectExtent l="19050" t="0" r="0" b="0"/>
            <wp:docPr id="288" name="Image 288" descr="$ \psi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$ \psi_r$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peuvent être considérés comme des constantes. </w:t>
      </w:r>
    </w:p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>Le pic spéculaire du modèle de Beckmann-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Spizzichino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peut être approximé par une fonction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14300" cy="142875"/>
            <wp:effectExtent l="19050" t="0" r="0" b="0"/>
            <wp:docPr id="289" name="Image 289" descr="$ \del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$ \delta$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valant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14300" cy="123825"/>
            <wp:effectExtent l="19050" t="0" r="0" b="0"/>
            <wp:docPr id="290" name="Image 290" descr="$ 1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$ 1$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dans la direction spéculaire et 0 partout ailleurs.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L'intensité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du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pic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spéculaire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est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alors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B7719">
        <w:rPr>
          <w:rFonts w:asciiTheme="majorBidi" w:hAnsiTheme="majorBidi" w:cstheme="majorBidi"/>
          <w:sz w:val="22"/>
          <w:szCs w:val="22"/>
        </w:rPr>
        <w:t>égale</w:t>
      </w:r>
      <w:proofErr w:type="spell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FB7719">
        <w:rPr>
          <w:rFonts w:asciiTheme="majorBidi" w:hAnsiTheme="majorBidi" w:cstheme="majorBidi"/>
          <w:sz w:val="22"/>
          <w:szCs w:val="22"/>
        </w:rPr>
        <w:t>à :</w:t>
      </w:r>
      <w:proofErr w:type="gramEnd"/>
      <w:r w:rsidRPr="00FB7719">
        <w:rPr>
          <w:rFonts w:asciiTheme="majorBidi" w:hAnsiTheme="majorBidi" w:cstheme="majorBidi"/>
          <w:sz w:val="22"/>
          <w:szCs w:val="22"/>
        </w:rPr>
        <w:t xml:space="preserve"> </w:t>
      </w:r>
    </w:p>
    <w:p w:rsidR="00FB7719" w:rsidRPr="00FB7719" w:rsidRDefault="00FB7719" w:rsidP="00FB7719">
      <w:pPr>
        <w:rPr>
          <w:rFonts w:asciiTheme="majorBidi" w:hAnsiTheme="majorBidi" w:cstheme="majorBidi"/>
        </w:rPr>
      </w:pP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1676400" cy="295275"/>
            <wp:effectExtent l="19050" t="0" r="0" b="0"/>
            <wp:docPr id="291" name="Image 291" descr="$\displaystyle I_{ss}=K_{ss}\delta(\theta_i-\theta_r)\delta(\psi_r)&#10;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$\displaystyle I_{ss}=K_{ss}\delta(\theta_i-\theta_r)\delta(\psi_r)&#10;$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719" w:rsidRPr="00FB7719" w:rsidRDefault="00FB7719" w:rsidP="00FB7719">
      <w:pPr>
        <w:rPr>
          <w:rFonts w:asciiTheme="majorBidi" w:hAnsiTheme="majorBidi" w:cstheme="majorBidi"/>
          <w:lang w:val="fr-FR"/>
        </w:rPr>
      </w:pPr>
      <w:proofErr w:type="gramStart"/>
      <w:r w:rsidRPr="00FB7719">
        <w:rPr>
          <w:rFonts w:asciiTheme="majorBidi" w:hAnsiTheme="majorBidi" w:cstheme="majorBidi"/>
          <w:lang w:val="fr-FR"/>
        </w:rPr>
        <w:lastRenderedPageBreak/>
        <w:t>où</w:t>
      </w:r>
      <w:proofErr w:type="gramEnd"/>
      <w:r w:rsidRPr="00FB7719">
        <w:rPr>
          <w:rFonts w:asciiTheme="majorBidi" w:hAnsiTheme="majorBidi" w:cstheme="majorBidi"/>
          <w:lang w:val="fr-FR"/>
        </w:rPr>
        <w:t xml:space="preserve">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285750" cy="276225"/>
            <wp:effectExtent l="19050" t="0" r="0" b="0"/>
            <wp:docPr id="292" name="Image 292" descr="$ K_{ss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$ K_{ss}$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>est égale à la valeur du pic spéculaire (équation </w:t>
      </w:r>
      <w:hyperlink r:id="rId25" w:anchor="eq:irradiance" w:history="1">
        <w:r w:rsidRPr="00FB7719">
          <w:rPr>
            <w:rStyle w:val="Lienhypertexte"/>
            <w:rFonts w:asciiTheme="majorBidi" w:hAnsiTheme="majorBidi" w:cstheme="majorBidi"/>
            <w:lang w:val="fr-FR"/>
          </w:rPr>
          <w:t>2.5</w:t>
        </w:r>
      </w:hyperlink>
      <w:r w:rsidRPr="00FB7719">
        <w:rPr>
          <w:rFonts w:asciiTheme="majorBidi" w:hAnsiTheme="majorBidi" w:cstheme="majorBidi"/>
          <w:lang w:val="fr-FR"/>
        </w:rPr>
        <w:t xml:space="preserve">) dans la direction spéculaire. </w:t>
      </w:r>
    </w:p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Finalement, le lobe diffus correspondant à la réflexion </w:t>
      </w: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Lambertienne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peut être ajouté au modèle de façon à avoir une intensité de pixel liée à la géométrie de la scène par : </w:t>
      </w:r>
    </w:p>
    <w:p w:rsidR="00FB7719" w:rsidRPr="00FB7719" w:rsidRDefault="00FB7719" w:rsidP="00FB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FB7719">
        <w:rPr>
          <w:rFonts w:asciiTheme="majorBidi" w:hAnsiTheme="majorBidi" w:cstheme="majorBidi"/>
        </w:rPr>
        <w:t xml:space="preserve">Si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685800" cy="295275"/>
            <wp:effectExtent l="19050" t="0" r="0" b="0"/>
            <wp:docPr id="293" name="Image 293" descr="$ \theta_i\in [0,\frac{\pi}{2}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$ \theta_i\in [0,\frac{\pi}{2}]$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</w:rPr>
        <w:t xml:space="preserve">, </w:t>
      </w:r>
    </w:p>
    <w:tbl>
      <w:tblPr>
        <w:tblW w:w="5000" w:type="pct"/>
        <w:jc w:val="center"/>
        <w:tblCellSpacing w:w="15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56"/>
        <w:gridCol w:w="5640"/>
        <w:gridCol w:w="2847"/>
        <w:gridCol w:w="577"/>
      </w:tblGrid>
      <w:tr w:rsidR="00FB7719" w:rsidRPr="00FB7719" w:rsidTr="00FB771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bookmarkStart w:id="2" w:name="eq:irr_nayard"/>
            <w:bookmarkStart w:id="3" w:name="eq:irr_nayard_var"/>
            <w:bookmarkEnd w:id="2"/>
            <w:bookmarkEnd w:id="3"/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14300" cy="276225"/>
                  <wp:effectExtent l="19050" t="0" r="0" b="0"/>
                  <wp:docPr id="294" name="Image 294" descr="$\displaystyle I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$\displaystyle I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295650" cy="504825"/>
                  <wp:effectExtent l="19050" t="0" r="0" b="0"/>
                  <wp:docPr id="295" name="Image 295" descr="$\displaystyle =K_{diff}\cos(\theta_i)+ K_{ls}e^{-\frac{\alpha^2}{2\sigma_\alpha^2}}+ K_{ss}\delta(\theta_i-\theta_r)\delta(\psi_r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$\displaystyle =K_{diff}\cos(\theta_i)+ K_{ls}e^{-\frac{\alpha^2}{2\sigma_\alpha^2}}+ K_{ss}\delta(\theta_i-\theta_r)\delta(\psi_r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8100" cy="266700"/>
                  <wp:effectExtent l="0" t="0" r="0" b="0"/>
                  <wp:docPr id="296" name="Image 296" descr="$\displaystyle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$\displaystyle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B7719">
              <w:rPr>
                <w:rFonts w:asciiTheme="majorBidi" w:hAnsiTheme="majorBidi" w:cstheme="majorBidi"/>
              </w:rPr>
              <w:t>Observateur</w:t>
            </w:r>
            <w:proofErr w:type="spellEnd"/>
            <w:r w:rsidRPr="00FB7719">
              <w:rPr>
                <w:rFonts w:asciiTheme="majorBidi" w:hAnsiTheme="majorBidi" w:cstheme="majorBidi"/>
              </w:rPr>
              <w:t xml:space="preserve"> fixe</w:t>
            </w:r>
          </w:p>
        </w:tc>
        <w:tc>
          <w:tcPr>
            <w:tcW w:w="150" w:type="dxa"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</w:rPr>
              <w:t>(2.14)</w:t>
            </w:r>
          </w:p>
        </w:tc>
      </w:tr>
      <w:tr w:rsidR="00FB7719" w:rsidRPr="00FB7719" w:rsidTr="00FB771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14300" cy="276225"/>
                  <wp:effectExtent l="19050" t="0" r="0" b="0"/>
                  <wp:docPr id="297" name="Image 297" descr="$\displaystyle I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$\displaystyle I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562350" cy="504825"/>
                  <wp:effectExtent l="0" t="0" r="0" b="0"/>
                  <wp:docPr id="298" name="Image 298" descr="$\displaystyle =K_{diff}\cos(\theta_i)+ \frac{C_{ls}}{\cos(\theta_r)}e^{-\frac{\alpha^2}{2\sigma_\alpha^2}}+&#10;K_{ss}\delta(\theta_i-\theta_r)\delta(\psi_r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$\displaystyle =K_{diff}\cos(\theta_i)+ \frac{C_{ls}}{\cos(\theta_r)}e^{-\frac{\alpha^2}{2\sigma_\alpha^2}}+&#10;K_{ss}\delta(\theta_i-\theta_r)\delta(\psi_r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38100" cy="266700"/>
                  <wp:effectExtent l="0" t="0" r="0" b="0"/>
                  <wp:docPr id="299" name="Image 299" descr="$\displaystyle 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$\displaystyle 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B7719">
              <w:rPr>
                <w:rFonts w:asciiTheme="majorBidi" w:hAnsiTheme="majorBidi" w:cstheme="majorBidi"/>
              </w:rPr>
              <w:t>Observateur</w:t>
            </w:r>
            <w:proofErr w:type="spellEnd"/>
            <w:r w:rsidRPr="00FB7719">
              <w:rPr>
                <w:rFonts w:asciiTheme="majorBidi" w:hAnsiTheme="majorBidi" w:cstheme="majorBidi"/>
              </w:rPr>
              <w:t xml:space="preserve"> variable</w:t>
            </w:r>
          </w:p>
        </w:tc>
        <w:tc>
          <w:tcPr>
            <w:tcW w:w="150" w:type="dxa"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</w:rPr>
              <w:t>(2.15)</w:t>
            </w:r>
          </w:p>
        </w:tc>
      </w:tr>
    </w:tbl>
    <w:p w:rsidR="00FB7719" w:rsidRPr="00FB7719" w:rsidRDefault="00FB7719" w:rsidP="00FB7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proofErr w:type="gramStart"/>
      <w:r w:rsidRPr="00FB7719">
        <w:rPr>
          <w:rFonts w:asciiTheme="majorBidi" w:hAnsiTheme="majorBidi" w:cstheme="majorBidi"/>
        </w:rPr>
        <w:t xml:space="preserve">Si </w:t>
      </w:r>
      <w:proofErr w:type="gramEnd"/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476250" cy="276225"/>
            <wp:effectExtent l="19050" t="0" r="0" b="0"/>
            <wp:docPr id="300" name="Image 300" descr="$ \theta_i\geq \frac{\pi}{2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$ \theta_i\geq \frac{\pi}{2}$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</w:rPr>
        <w:t xml:space="preserve">,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400050" cy="142875"/>
            <wp:effectExtent l="19050" t="0" r="0" b="0"/>
            <wp:docPr id="301" name="Image 301" descr="$ I=0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$ I=0$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</w:rPr>
        <w:t xml:space="preserve">. </w:t>
      </w:r>
    </w:p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FB7719">
        <w:rPr>
          <w:rFonts w:asciiTheme="majorBidi" w:hAnsiTheme="majorBidi" w:cstheme="majorBidi"/>
          <w:sz w:val="22"/>
          <w:szCs w:val="22"/>
          <w:lang w:val="fr-FR"/>
        </w:rPr>
        <w:t>Notez encore une fois que le cas d'un observateur variable (équation </w:t>
      </w:r>
      <w:hyperlink r:id="rId33" w:anchor="eq:irr_nayard_var" w:history="1">
        <w:r w:rsidRPr="00FB7719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2.15</w:t>
        </w:r>
      </w:hyperlink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) peut s'appliquer soit : </w:t>
      </w:r>
    </w:p>
    <w:p w:rsidR="00FB7719" w:rsidRPr="00FB7719" w:rsidRDefault="00FB7719" w:rsidP="00FB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FB7719">
        <w:rPr>
          <w:rFonts w:asciiTheme="majorBidi" w:hAnsiTheme="majorBidi" w:cstheme="majorBidi"/>
          <w:lang w:val="fr-FR"/>
        </w:rPr>
        <w:t xml:space="preserve">à l'étude d'un pixel avec des positions successives de la caméra. Notons que si la source lumineuse est </w:t>
      </w:r>
      <w:proofErr w:type="gramStart"/>
      <w:r w:rsidRPr="00FB7719">
        <w:rPr>
          <w:rFonts w:asciiTheme="majorBidi" w:hAnsiTheme="majorBidi" w:cstheme="majorBidi"/>
          <w:lang w:val="fr-FR"/>
        </w:rPr>
        <w:t>supposé</w:t>
      </w:r>
      <w:proofErr w:type="gramEnd"/>
      <w:r w:rsidRPr="00FB7719">
        <w:rPr>
          <w:rFonts w:asciiTheme="majorBidi" w:hAnsiTheme="majorBidi" w:cstheme="majorBidi"/>
          <w:lang w:val="fr-FR"/>
        </w:rPr>
        <w:t xml:space="preserve"> d'orientation constante le terme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895350" cy="295275"/>
            <wp:effectExtent l="19050" t="0" r="0" b="0"/>
            <wp:docPr id="302" name="Image 302" descr="$ K_{diff}\cos(\theta_i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$ K_{diff}\cos(\theta_i)$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est dans ce cas également constant. </w:t>
      </w:r>
      <w:r w:rsidRPr="00FB7719">
        <w:rPr>
          <w:rFonts w:asciiTheme="majorBidi" w:hAnsiTheme="majorBidi" w:cstheme="majorBidi"/>
        </w:rPr>
        <w:t xml:space="preserve">Le </w:t>
      </w:r>
      <w:proofErr w:type="spellStart"/>
      <w:r w:rsidRPr="00FB7719">
        <w:rPr>
          <w:rFonts w:asciiTheme="majorBidi" w:hAnsiTheme="majorBidi" w:cstheme="majorBidi"/>
        </w:rPr>
        <w:t>cas</w:t>
      </w:r>
      <w:proofErr w:type="spellEnd"/>
      <w:r w:rsidRPr="00FB7719">
        <w:rPr>
          <w:rFonts w:asciiTheme="majorBidi" w:hAnsiTheme="majorBidi" w:cstheme="majorBidi"/>
        </w:rPr>
        <w:t xml:space="preserve"> de </w:t>
      </w:r>
      <w:proofErr w:type="spellStart"/>
      <w:r w:rsidRPr="00FB7719">
        <w:rPr>
          <w:rFonts w:asciiTheme="majorBidi" w:hAnsiTheme="majorBidi" w:cstheme="majorBidi"/>
        </w:rPr>
        <w:t>l'observateur</w:t>
      </w:r>
      <w:proofErr w:type="spellEnd"/>
      <w:r w:rsidRPr="00FB7719">
        <w:rPr>
          <w:rFonts w:asciiTheme="majorBidi" w:hAnsiTheme="majorBidi" w:cstheme="majorBidi"/>
        </w:rPr>
        <w:t xml:space="preserve"> variable </w:t>
      </w:r>
      <w:proofErr w:type="spellStart"/>
      <w:r w:rsidRPr="00FB7719">
        <w:rPr>
          <w:rFonts w:asciiTheme="majorBidi" w:hAnsiTheme="majorBidi" w:cstheme="majorBidi"/>
        </w:rPr>
        <w:t>s'applique</w:t>
      </w:r>
      <w:proofErr w:type="spellEnd"/>
      <w:r w:rsidRPr="00FB7719">
        <w:rPr>
          <w:rFonts w:asciiTheme="majorBidi" w:hAnsiTheme="majorBidi" w:cstheme="majorBidi"/>
        </w:rPr>
        <w:t xml:space="preserve"> </w:t>
      </w:r>
      <w:proofErr w:type="spellStart"/>
      <w:r w:rsidRPr="00FB7719">
        <w:rPr>
          <w:rFonts w:asciiTheme="majorBidi" w:hAnsiTheme="majorBidi" w:cstheme="majorBidi"/>
        </w:rPr>
        <w:t>également</w:t>
      </w:r>
      <w:proofErr w:type="spellEnd"/>
      <w:r w:rsidRPr="00FB7719">
        <w:rPr>
          <w:rFonts w:asciiTheme="majorBidi" w:hAnsiTheme="majorBidi" w:cstheme="majorBidi"/>
        </w:rPr>
        <w:t xml:space="preserve"> </w:t>
      </w:r>
    </w:p>
    <w:p w:rsidR="00FB7719" w:rsidRPr="00FB7719" w:rsidRDefault="00FB7719" w:rsidP="00FB77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hAnsiTheme="majorBidi" w:cstheme="majorBidi"/>
          <w:lang w:val="fr-FR"/>
        </w:rPr>
      </w:pPr>
      <w:r w:rsidRPr="00FB7719">
        <w:rPr>
          <w:rFonts w:asciiTheme="majorBidi" w:hAnsiTheme="majorBidi" w:cstheme="majorBidi"/>
          <w:lang w:val="fr-FR"/>
        </w:rPr>
        <w:t xml:space="preserve">à l'étude de plusieurs pixels avec une seule caméra fixe. Dans cas aucun des angles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600075" cy="276225"/>
            <wp:effectExtent l="19050" t="0" r="0" b="0"/>
            <wp:docPr id="303" name="Image 303" descr="$ \theta_i,\theta_r,\psi_r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$ \theta_i,\theta_r,\psi_r$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et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133350" cy="133350"/>
            <wp:effectExtent l="19050" t="0" r="0" b="0"/>
            <wp:docPr id="304" name="Image 304" descr="$ 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$ \alpha $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ne peut être considéré constant. </w:t>
      </w:r>
    </w:p>
    <w:p w:rsidR="00FB7719" w:rsidRPr="00FB7719" w:rsidRDefault="00FB7719" w:rsidP="00FB7719">
      <w:pPr>
        <w:pStyle w:val="NormalWeb"/>
        <w:jc w:val="both"/>
        <w:rPr>
          <w:rFonts w:asciiTheme="majorBidi" w:hAnsiTheme="majorBidi" w:cstheme="majorBidi"/>
          <w:sz w:val="22"/>
          <w:szCs w:val="22"/>
          <w:lang w:val="fr-FR"/>
        </w:rPr>
      </w:pPr>
      <w:proofErr w:type="spellStart"/>
      <w:r w:rsidRPr="00FB7719">
        <w:rPr>
          <w:rFonts w:asciiTheme="majorBidi" w:hAnsiTheme="majorBidi" w:cstheme="majorBidi"/>
          <w:sz w:val="22"/>
          <w:szCs w:val="22"/>
          <w:lang w:val="fr-FR"/>
        </w:rPr>
        <w:t>Nayar</w:t>
      </w:r>
      <w:proofErr w:type="spellEnd"/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 a de plus établi des ponts entre les deux modèles en remarquant que puisque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33350" cy="133350"/>
            <wp:effectExtent l="19050" t="0" r="0" b="0"/>
            <wp:docPr id="305" name="Image 305" descr="$ 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$ \alpha $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est l'angle entre </w:t>
      </w:r>
      <w:r w:rsidRPr="00FB7719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190500" cy="152400"/>
            <wp:effectExtent l="19050" t="0" r="0" b="0"/>
            <wp:docPr id="306" name="Image 306" descr="$ \vect{\nu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$ \vect{\nu}$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sz w:val="22"/>
          <w:szCs w:val="22"/>
          <w:lang w:val="fr-FR"/>
        </w:rPr>
        <w:t>et la normale nous avons (équation </w:t>
      </w:r>
      <w:hyperlink r:id="rId37" w:anchor="eq:var_irradiance" w:history="1">
        <w:r w:rsidRPr="00FB7719">
          <w:rPr>
            <w:rStyle w:val="Lienhypertexte"/>
            <w:rFonts w:asciiTheme="majorBidi" w:hAnsiTheme="majorBidi" w:cstheme="majorBidi"/>
            <w:sz w:val="22"/>
            <w:szCs w:val="22"/>
            <w:lang w:val="fr-FR"/>
          </w:rPr>
          <w:t>2.6</w:t>
        </w:r>
      </w:hyperlink>
      <w:r w:rsidRPr="00FB7719">
        <w:rPr>
          <w:rFonts w:asciiTheme="majorBidi" w:hAnsiTheme="majorBidi" w:cstheme="majorBidi"/>
          <w:sz w:val="22"/>
          <w:szCs w:val="22"/>
          <w:lang w:val="fr-FR"/>
        </w:rPr>
        <w:t xml:space="preserve">) :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3"/>
        <w:gridCol w:w="577"/>
      </w:tblGrid>
      <w:tr w:rsidR="00FB7719" w:rsidRPr="00FB7719" w:rsidTr="00FB771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bookmarkStart w:id="4" w:name="eq:tan_alpha_nu"/>
            <w:bookmarkEnd w:id="4"/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971550" cy="409575"/>
                  <wp:effectExtent l="19050" t="0" r="0" b="0"/>
                  <wp:docPr id="307" name="Image 307" descr="$\displaystyle \tan(\alpha)=\frac{\nu_{xy}}{\nu_z}.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$\displaystyle \tan(\alpha)=\frac{\nu_{xy}}{\nu_z}.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</w:rPr>
              <w:t>(2.16)</w:t>
            </w:r>
          </w:p>
        </w:tc>
      </w:tr>
    </w:tbl>
    <w:p w:rsidR="00FB7719" w:rsidRPr="00FB7719" w:rsidRDefault="00FB7719" w:rsidP="00FB7719">
      <w:pPr>
        <w:rPr>
          <w:rFonts w:asciiTheme="majorBidi" w:hAnsiTheme="majorBidi" w:cstheme="majorBidi"/>
          <w:lang w:val="fr-FR"/>
        </w:rPr>
      </w:pPr>
      <w:r w:rsidRPr="00FB7719">
        <w:rPr>
          <w:rFonts w:asciiTheme="majorBidi" w:hAnsiTheme="majorBidi" w:cstheme="majorBidi"/>
          <w:lang w:val="fr-FR"/>
        </w:rPr>
        <w:t xml:space="preserve">Donc si nous posons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981075" cy="333375"/>
            <wp:effectExtent l="19050" t="0" r="0" b="0"/>
            <wp:docPr id="308" name="Image 308" descr="$ \tan(\alpha_0)=\frac{2\sigma_h}{T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$ \tan(\alpha_0)=\frac{2\sigma_h}{T}$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les lobes spéculaires des modèles de Beckmann et Torrance sont liés par :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43"/>
        <w:gridCol w:w="577"/>
      </w:tblGrid>
      <w:tr w:rsidR="00FB7719" w:rsidRPr="00FB7719" w:rsidTr="00FB771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bookmarkStart w:id="5" w:name="eq:lobe_torr_beck"/>
            <w:bookmarkEnd w:id="5"/>
            <w:r w:rsidRPr="00FB7719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438275" cy="581025"/>
                  <wp:effectExtent l="19050" t="0" r="9525" b="0"/>
                  <wp:docPr id="309" name="Image 309" descr="$\displaystyle e^{-\frac{\upsilon_{xy}^2T^2}{4\nu_z^2\sigma_h}}=e^{-\frac{\tan^2(\alpha)}{\tan^2(\alpha_0)}}.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$\displaystyle e^{-\frac{\upsilon_{xy}^2T^2}{4\nu_z^2\sigma_h}}=e^{-\frac{\tan^2(\alpha)}{\tan^2(\alpha_0)}}.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noWrap/>
            <w:vAlign w:val="center"/>
            <w:hideMark/>
          </w:tcPr>
          <w:p w:rsidR="00FB7719" w:rsidRPr="00FB7719" w:rsidRDefault="00FB7719" w:rsidP="00FB7719">
            <w:pPr>
              <w:rPr>
                <w:rFonts w:asciiTheme="majorBidi" w:hAnsiTheme="majorBidi" w:cstheme="majorBidi"/>
              </w:rPr>
            </w:pPr>
            <w:r w:rsidRPr="00FB7719">
              <w:rPr>
                <w:rFonts w:asciiTheme="majorBidi" w:hAnsiTheme="majorBidi" w:cstheme="majorBidi"/>
              </w:rPr>
              <w:t>(2.17)</w:t>
            </w:r>
          </w:p>
        </w:tc>
      </w:tr>
    </w:tbl>
    <w:p w:rsidR="00FB7719" w:rsidRPr="00FB7719" w:rsidRDefault="00FB7719" w:rsidP="00ED284E">
      <w:pPr>
        <w:rPr>
          <w:rFonts w:asciiTheme="majorBidi" w:hAnsiTheme="majorBidi" w:cstheme="majorBidi"/>
        </w:rPr>
      </w:pPr>
      <w:r w:rsidRPr="00FB7719">
        <w:rPr>
          <w:rFonts w:asciiTheme="majorBidi" w:hAnsiTheme="majorBidi" w:cstheme="majorBidi"/>
          <w:lang w:val="fr-FR"/>
        </w:rPr>
        <w:t xml:space="preserve">En utilisant l'approximation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771525" cy="295275"/>
            <wp:effectExtent l="19050" t="0" r="9525" b="0"/>
            <wp:docPr id="310" name="Image 310" descr="$ \tan(\alpha)\approx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$ \tan(\alpha)\approx \alpha$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nous obtenons :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1428750" cy="695325"/>
            <wp:effectExtent l="19050" t="0" r="0" b="0"/>
            <wp:docPr id="311" name="Image 311" descr="$\displaystyle e^{-\frac{\upsilon_{xy}^2T^2}{4\nu_z^2\sigma_h}}=&#10;e^{-\frac{\alpha^2}{&#10;2 \left(\frac{\alpha_0}{\sqrt{2}}\right)^2}&#10;}.&#10;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$\displaystyle e^{-\frac{\upsilon_{xy}^2T^2}{4\nu_z^2\sigma_h}}=&#10;e^{-\frac{\alpha^2}{&#10;2 \left(\frac{\alpha_0}{\sqrt{2}}\right)^2}&#10;}.&#10;$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719" w:rsidRPr="00FB7719" w:rsidRDefault="00FB7719" w:rsidP="00FB7719">
      <w:pPr>
        <w:rPr>
          <w:rFonts w:asciiTheme="majorBidi" w:hAnsiTheme="majorBidi" w:cstheme="majorBidi"/>
          <w:lang w:val="fr-FR"/>
        </w:rPr>
      </w:pPr>
      <w:r w:rsidRPr="00FB7719">
        <w:rPr>
          <w:rFonts w:asciiTheme="majorBidi" w:hAnsiTheme="majorBidi" w:cstheme="majorBidi"/>
          <w:lang w:val="fr-FR"/>
        </w:rPr>
        <w:t xml:space="preserve">L'écart type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209550" cy="266700"/>
            <wp:effectExtent l="19050" t="0" r="0" b="0"/>
            <wp:docPr id="312" name="Image 312" descr="$ \sigma_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$ \sigma_\alpha $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du modèle de Torrance peut donc être relié aux paramètres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200025" cy="266700"/>
            <wp:effectExtent l="19050" t="0" r="9525" b="0"/>
            <wp:docPr id="313" name="Image 313" descr="$ \sigma _h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$ \sigma _h$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e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152400" cy="133350"/>
            <wp:effectExtent l="19050" t="0" r="0" b="0"/>
            <wp:docPr id="314" name="Image 314" descr="$ 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$ T$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du modèle de Beckmann par : </w:t>
      </w:r>
    </w:p>
    <w:p w:rsidR="00FB7719" w:rsidRPr="00FB7719" w:rsidRDefault="00FB7719" w:rsidP="00FB7719">
      <w:pPr>
        <w:rPr>
          <w:rFonts w:asciiTheme="majorBidi" w:hAnsiTheme="majorBidi" w:cstheme="majorBidi"/>
        </w:rPr>
      </w:pP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1905000" cy="466725"/>
            <wp:effectExtent l="19050" t="0" r="0" b="0"/>
            <wp:docPr id="315" name="Image 315" descr="$\displaystyle \sigma_\alpha=\frac{\alpha_0}{\sqrt{2}}=\frac{1}{\sqrt{2}}\tan^{-1}\left(\frac{\sigma_h}{T}\right)&#10;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$\displaystyle \sigma_\alpha=\frac{\alpha_0}{\sqrt{2}}=\frac{1}{\sqrt{2}}\tan^{-1}\left(\frac{\sigma_h}{T}\right)&#10;$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77" w:rsidRPr="00FB7719" w:rsidRDefault="00FB7719" w:rsidP="00FB7719">
      <w:pPr>
        <w:rPr>
          <w:rFonts w:asciiTheme="majorBidi" w:hAnsiTheme="majorBidi" w:cstheme="majorBidi"/>
          <w:lang w:val="fr-FR"/>
        </w:rPr>
      </w:pPr>
      <w:r w:rsidRPr="00FB7719">
        <w:rPr>
          <w:rFonts w:asciiTheme="majorBidi" w:hAnsiTheme="majorBidi" w:cstheme="majorBidi"/>
          <w:lang w:val="fr-FR"/>
        </w:rPr>
        <w:t xml:space="preserve">Notez de plus que le modèle de Beckmann définit le lobe spéculaire à partir de </w:t>
      </w:r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476250" cy="295275"/>
            <wp:effectExtent l="19050" t="0" r="0" b="0"/>
            <wp:docPr id="316" name="Image 316" descr="$ \tan(\alpha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$ \tan(\alpha)$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 xml:space="preserve">plutôt </w:t>
      </w:r>
      <w:proofErr w:type="gramStart"/>
      <w:r w:rsidRPr="00FB7719">
        <w:rPr>
          <w:rFonts w:asciiTheme="majorBidi" w:hAnsiTheme="majorBidi" w:cstheme="majorBidi"/>
          <w:lang w:val="fr-FR"/>
        </w:rPr>
        <w:t xml:space="preserve">que </w:t>
      </w:r>
      <w:proofErr w:type="gramEnd"/>
      <w:r w:rsidRPr="00FB7719">
        <w:rPr>
          <w:rFonts w:asciiTheme="majorBidi" w:hAnsiTheme="majorBidi" w:cstheme="majorBidi"/>
          <w:noProof/>
        </w:rPr>
        <w:drawing>
          <wp:inline distT="0" distB="0" distL="0" distR="0">
            <wp:extent cx="133350" cy="133350"/>
            <wp:effectExtent l="19050" t="0" r="0" b="0"/>
            <wp:docPr id="317" name="Image 317" descr="$ \alpha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$ \alpha $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719">
        <w:rPr>
          <w:rFonts w:asciiTheme="majorBidi" w:hAnsiTheme="majorBidi" w:cstheme="majorBidi"/>
          <w:lang w:val="fr-FR"/>
        </w:rPr>
        <w:t>.</w:t>
      </w:r>
    </w:p>
    <w:p w:rsidR="00D91077" w:rsidRPr="00FB7719" w:rsidRDefault="00D91077" w:rsidP="00FB7719">
      <w:pPr>
        <w:rPr>
          <w:rFonts w:asciiTheme="majorBidi" w:hAnsiTheme="majorBidi" w:cstheme="majorBidi"/>
          <w:lang w:val="fr-FR"/>
        </w:rPr>
      </w:pPr>
    </w:p>
    <w:sectPr w:rsidR="00D91077" w:rsidRPr="00FB7719" w:rsidSect="0041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90"/>
    <w:multiLevelType w:val="hybridMultilevel"/>
    <w:tmpl w:val="2768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164"/>
    <w:multiLevelType w:val="multilevel"/>
    <w:tmpl w:val="60C0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626"/>
    <w:multiLevelType w:val="multilevel"/>
    <w:tmpl w:val="D3D2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86C65"/>
    <w:multiLevelType w:val="multilevel"/>
    <w:tmpl w:val="4D24B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48D2647F"/>
    <w:multiLevelType w:val="multilevel"/>
    <w:tmpl w:val="319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4B43"/>
    <w:multiLevelType w:val="multilevel"/>
    <w:tmpl w:val="3EB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D5882"/>
    <w:multiLevelType w:val="multilevel"/>
    <w:tmpl w:val="8B32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C3343"/>
    <w:multiLevelType w:val="multilevel"/>
    <w:tmpl w:val="A4B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702F9"/>
    <w:multiLevelType w:val="multilevel"/>
    <w:tmpl w:val="95F0A9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1077"/>
    <w:rsid w:val="00000B05"/>
    <w:rsid w:val="00007F9B"/>
    <w:rsid w:val="00024515"/>
    <w:rsid w:val="0002471A"/>
    <w:rsid w:val="00025B55"/>
    <w:rsid w:val="000351C3"/>
    <w:rsid w:val="0003637E"/>
    <w:rsid w:val="00040AED"/>
    <w:rsid w:val="00042120"/>
    <w:rsid w:val="000427CD"/>
    <w:rsid w:val="0005319D"/>
    <w:rsid w:val="000552B1"/>
    <w:rsid w:val="000701BD"/>
    <w:rsid w:val="000710B0"/>
    <w:rsid w:val="00072009"/>
    <w:rsid w:val="00075873"/>
    <w:rsid w:val="00084B79"/>
    <w:rsid w:val="00093DF6"/>
    <w:rsid w:val="000942F4"/>
    <w:rsid w:val="00096267"/>
    <w:rsid w:val="000973EC"/>
    <w:rsid w:val="000A2ACE"/>
    <w:rsid w:val="000A2F15"/>
    <w:rsid w:val="000A6039"/>
    <w:rsid w:val="000C626B"/>
    <w:rsid w:val="000D0A19"/>
    <w:rsid w:val="000D1264"/>
    <w:rsid w:val="000D1CBB"/>
    <w:rsid w:val="000D7486"/>
    <w:rsid w:val="000E01C8"/>
    <w:rsid w:val="000E3C56"/>
    <w:rsid w:val="000E44B3"/>
    <w:rsid w:val="000E5736"/>
    <w:rsid w:val="0010762F"/>
    <w:rsid w:val="00107AD7"/>
    <w:rsid w:val="0011077B"/>
    <w:rsid w:val="001113A1"/>
    <w:rsid w:val="001175E6"/>
    <w:rsid w:val="001311E6"/>
    <w:rsid w:val="0013463B"/>
    <w:rsid w:val="0013729F"/>
    <w:rsid w:val="00137C6A"/>
    <w:rsid w:val="001416E8"/>
    <w:rsid w:val="00142171"/>
    <w:rsid w:val="00143D24"/>
    <w:rsid w:val="00157F7E"/>
    <w:rsid w:val="00161AE9"/>
    <w:rsid w:val="00163132"/>
    <w:rsid w:val="0016314C"/>
    <w:rsid w:val="001653A0"/>
    <w:rsid w:val="00175CA3"/>
    <w:rsid w:val="00177B5A"/>
    <w:rsid w:val="00180795"/>
    <w:rsid w:val="00183755"/>
    <w:rsid w:val="00187DAA"/>
    <w:rsid w:val="00194CE1"/>
    <w:rsid w:val="001A38CD"/>
    <w:rsid w:val="001B0977"/>
    <w:rsid w:val="001C7F3A"/>
    <w:rsid w:val="001D127F"/>
    <w:rsid w:val="001D74BC"/>
    <w:rsid w:val="001E1B53"/>
    <w:rsid w:val="001E3236"/>
    <w:rsid w:val="001F12D9"/>
    <w:rsid w:val="00212274"/>
    <w:rsid w:val="0022092C"/>
    <w:rsid w:val="002273B9"/>
    <w:rsid w:val="002303CF"/>
    <w:rsid w:val="00233C75"/>
    <w:rsid w:val="00234466"/>
    <w:rsid w:val="002419F4"/>
    <w:rsid w:val="00242732"/>
    <w:rsid w:val="00242D85"/>
    <w:rsid w:val="00242FBA"/>
    <w:rsid w:val="002568B5"/>
    <w:rsid w:val="002579A7"/>
    <w:rsid w:val="00257FFE"/>
    <w:rsid w:val="00264CDA"/>
    <w:rsid w:val="0027005D"/>
    <w:rsid w:val="002770EA"/>
    <w:rsid w:val="002820E0"/>
    <w:rsid w:val="0028234F"/>
    <w:rsid w:val="00282A82"/>
    <w:rsid w:val="00282F90"/>
    <w:rsid w:val="002946A2"/>
    <w:rsid w:val="00295966"/>
    <w:rsid w:val="002B72D6"/>
    <w:rsid w:val="002C3650"/>
    <w:rsid w:val="002D33A4"/>
    <w:rsid w:val="002F1BEE"/>
    <w:rsid w:val="002F302D"/>
    <w:rsid w:val="002F7E0D"/>
    <w:rsid w:val="0030372E"/>
    <w:rsid w:val="00304728"/>
    <w:rsid w:val="00310CA5"/>
    <w:rsid w:val="00312D1F"/>
    <w:rsid w:val="00320B55"/>
    <w:rsid w:val="00321308"/>
    <w:rsid w:val="00323926"/>
    <w:rsid w:val="00323B69"/>
    <w:rsid w:val="00324043"/>
    <w:rsid w:val="00341776"/>
    <w:rsid w:val="0034670F"/>
    <w:rsid w:val="0034792A"/>
    <w:rsid w:val="0035069D"/>
    <w:rsid w:val="00353F8B"/>
    <w:rsid w:val="003574D1"/>
    <w:rsid w:val="00360D48"/>
    <w:rsid w:val="00361747"/>
    <w:rsid w:val="003904B3"/>
    <w:rsid w:val="003942F8"/>
    <w:rsid w:val="003A0006"/>
    <w:rsid w:val="003A3233"/>
    <w:rsid w:val="003A5E75"/>
    <w:rsid w:val="003A6DC8"/>
    <w:rsid w:val="003B465B"/>
    <w:rsid w:val="003B4FF1"/>
    <w:rsid w:val="003B5BD5"/>
    <w:rsid w:val="003B5D74"/>
    <w:rsid w:val="003D578B"/>
    <w:rsid w:val="003D71F5"/>
    <w:rsid w:val="003D7A97"/>
    <w:rsid w:val="003E14A3"/>
    <w:rsid w:val="003E5E93"/>
    <w:rsid w:val="003F6BCB"/>
    <w:rsid w:val="003F7394"/>
    <w:rsid w:val="0040392A"/>
    <w:rsid w:val="00410406"/>
    <w:rsid w:val="004105D5"/>
    <w:rsid w:val="004110C9"/>
    <w:rsid w:val="00417BBE"/>
    <w:rsid w:val="004238B0"/>
    <w:rsid w:val="004242B4"/>
    <w:rsid w:val="0042770D"/>
    <w:rsid w:val="004303FC"/>
    <w:rsid w:val="0043275E"/>
    <w:rsid w:val="00433056"/>
    <w:rsid w:val="004342C4"/>
    <w:rsid w:val="00450088"/>
    <w:rsid w:val="004504ED"/>
    <w:rsid w:val="004564B6"/>
    <w:rsid w:val="00457C8E"/>
    <w:rsid w:val="00466F96"/>
    <w:rsid w:val="00467EDB"/>
    <w:rsid w:val="00484EDF"/>
    <w:rsid w:val="0048791F"/>
    <w:rsid w:val="004907EB"/>
    <w:rsid w:val="00491EF0"/>
    <w:rsid w:val="00492CD3"/>
    <w:rsid w:val="00494585"/>
    <w:rsid w:val="00494F3F"/>
    <w:rsid w:val="00495ACF"/>
    <w:rsid w:val="004A27FB"/>
    <w:rsid w:val="004A4049"/>
    <w:rsid w:val="004A7A16"/>
    <w:rsid w:val="004B10F4"/>
    <w:rsid w:val="004B2BD0"/>
    <w:rsid w:val="004B49AD"/>
    <w:rsid w:val="004B6867"/>
    <w:rsid w:val="004C19E1"/>
    <w:rsid w:val="004C3568"/>
    <w:rsid w:val="004D2B4B"/>
    <w:rsid w:val="004E1D5A"/>
    <w:rsid w:val="004F09A8"/>
    <w:rsid w:val="005021D3"/>
    <w:rsid w:val="005122E9"/>
    <w:rsid w:val="00525B46"/>
    <w:rsid w:val="005274A2"/>
    <w:rsid w:val="00527647"/>
    <w:rsid w:val="005441C1"/>
    <w:rsid w:val="00547DF7"/>
    <w:rsid w:val="00554DF1"/>
    <w:rsid w:val="00561CB3"/>
    <w:rsid w:val="00565383"/>
    <w:rsid w:val="005653DD"/>
    <w:rsid w:val="00574A6A"/>
    <w:rsid w:val="00586142"/>
    <w:rsid w:val="0058757C"/>
    <w:rsid w:val="00597491"/>
    <w:rsid w:val="005A1BF3"/>
    <w:rsid w:val="005A34C8"/>
    <w:rsid w:val="005B1AF0"/>
    <w:rsid w:val="005B5A5F"/>
    <w:rsid w:val="005C0533"/>
    <w:rsid w:val="005D64E7"/>
    <w:rsid w:val="005E1711"/>
    <w:rsid w:val="005E196B"/>
    <w:rsid w:val="005E4DD3"/>
    <w:rsid w:val="005F01F3"/>
    <w:rsid w:val="005F4090"/>
    <w:rsid w:val="005F4F4E"/>
    <w:rsid w:val="005F75F8"/>
    <w:rsid w:val="0060418C"/>
    <w:rsid w:val="00604E16"/>
    <w:rsid w:val="0060558F"/>
    <w:rsid w:val="006159A2"/>
    <w:rsid w:val="00624F63"/>
    <w:rsid w:val="00630B2A"/>
    <w:rsid w:val="00630E78"/>
    <w:rsid w:val="006417AA"/>
    <w:rsid w:val="0064703C"/>
    <w:rsid w:val="006604DA"/>
    <w:rsid w:val="00660998"/>
    <w:rsid w:val="00670498"/>
    <w:rsid w:val="00673C17"/>
    <w:rsid w:val="00681542"/>
    <w:rsid w:val="00683478"/>
    <w:rsid w:val="006840C5"/>
    <w:rsid w:val="00690801"/>
    <w:rsid w:val="00692A8F"/>
    <w:rsid w:val="0069492C"/>
    <w:rsid w:val="0069671F"/>
    <w:rsid w:val="00697BD9"/>
    <w:rsid w:val="006A01CC"/>
    <w:rsid w:val="006A0A27"/>
    <w:rsid w:val="006A27F5"/>
    <w:rsid w:val="006B41D5"/>
    <w:rsid w:val="006B4BB7"/>
    <w:rsid w:val="006B4BFE"/>
    <w:rsid w:val="006C0703"/>
    <w:rsid w:val="006D3D18"/>
    <w:rsid w:val="006D5CBA"/>
    <w:rsid w:val="006E72E0"/>
    <w:rsid w:val="006F198F"/>
    <w:rsid w:val="006F5023"/>
    <w:rsid w:val="00700506"/>
    <w:rsid w:val="007051B0"/>
    <w:rsid w:val="00705BCD"/>
    <w:rsid w:val="00710884"/>
    <w:rsid w:val="00710D2B"/>
    <w:rsid w:val="007140B4"/>
    <w:rsid w:val="007141A7"/>
    <w:rsid w:val="0071695F"/>
    <w:rsid w:val="00716D1E"/>
    <w:rsid w:val="00720ADA"/>
    <w:rsid w:val="0072559D"/>
    <w:rsid w:val="00726DB3"/>
    <w:rsid w:val="0073059E"/>
    <w:rsid w:val="007427DA"/>
    <w:rsid w:val="00745A13"/>
    <w:rsid w:val="00755720"/>
    <w:rsid w:val="00756F77"/>
    <w:rsid w:val="0076099C"/>
    <w:rsid w:val="00766E35"/>
    <w:rsid w:val="00775EB4"/>
    <w:rsid w:val="007836EC"/>
    <w:rsid w:val="00785C14"/>
    <w:rsid w:val="0079277E"/>
    <w:rsid w:val="00794653"/>
    <w:rsid w:val="007A086D"/>
    <w:rsid w:val="007A2A80"/>
    <w:rsid w:val="007A56F4"/>
    <w:rsid w:val="007B0A2E"/>
    <w:rsid w:val="007B228A"/>
    <w:rsid w:val="007B24A0"/>
    <w:rsid w:val="007B2577"/>
    <w:rsid w:val="007C2C6A"/>
    <w:rsid w:val="007C56B9"/>
    <w:rsid w:val="007E1E39"/>
    <w:rsid w:val="007E362B"/>
    <w:rsid w:val="007F1AFB"/>
    <w:rsid w:val="007F4026"/>
    <w:rsid w:val="007F4042"/>
    <w:rsid w:val="00802DBD"/>
    <w:rsid w:val="0081191B"/>
    <w:rsid w:val="00811A15"/>
    <w:rsid w:val="00821C89"/>
    <w:rsid w:val="008260B8"/>
    <w:rsid w:val="0083729F"/>
    <w:rsid w:val="00844C60"/>
    <w:rsid w:val="00846200"/>
    <w:rsid w:val="008549E8"/>
    <w:rsid w:val="008574BF"/>
    <w:rsid w:val="00860538"/>
    <w:rsid w:val="00877A17"/>
    <w:rsid w:val="00884BD0"/>
    <w:rsid w:val="00885338"/>
    <w:rsid w:val="0089549A"/>
    <w:rsid w:val="00895F22"/>
    <w:rsid w:val="008B1174"/>
    <w:rsid w:val="008B31F7"/>
    <w:rsid w:val="008B5B13"/>
    <w:rsid w:val="008B6C31"/>
    <w:rsid w:val="008D0C7D"/>
    <w:rsid w:val="008D3E13"/>
    <w:rsid w:val="008F4349"/>
    <w:rsid w:val="00901AAA"/>
    <w:rsid w:val="00902363"/>
    <w:rsid w:val="00905F38"/>
    <w:rsid w:val="00910D74"/>
    <w:rsid w:val="009150D6"/>
    <w:rsid w:val="009215BC"/>
    <w:rsid w:val="00930082"/>
    <w:rsid w:val="0093357F"/>
    <w:rsid w:val="00945975"/>
    <w:rsid w:val="00954FC2"/>
    <w:rsid w:val="00957801"/>
    <w:rsid w:val="00964AC1"/>
    <w:rsid w:val="00972E83"/>
    <w:rsid w:val="00982BD2"/>
    <w:rsid w:val="009833EB"/>
    <w:rsid w:val="00993252"/>
    <w:rsid w:val="00994160"/>
    <w:rsid w:val="00997B60"/>
    <w:rsid w:val="009A7D7C"/>
    <w:rsid w:val="009B06DA"/>
    <w:rsid w:val="009B3258"/>
    <w:rsid w:val="009C1449"/>
    <w:rsid w:val="009C2EA3"/>
    <w:rsid w:val="009D1760"/>
    <w:rsid w:val="009D3A50"/>
    <w:rsid w:val="009D4867"/>
    <w:rsid w:val="009F101E"/>
    <w:rsid w:val="009F31BC"/>
    <w:rsid w:val="009F7111"/>
    <w:rsid w:val="00A00C68"/>
    <w:rsid w:val="00A027E1"/>
    <w:rsid w:val="00A12586"/>
    <w:rsid w:val="00A147F1"/>
    <w:rsid w:val="00A166AE"/>
    <w:rsid w:val="00A257EE"/>
    <w:rsid w:val="00A42043"/>
    <w:rsid w:val="00A425A8"/>
    <w:rsid w:val="00A43EA5"/>
    <w:rsid w:val="00A45EB7"/>
    <w:rsid w:val="00A46070"/>
    <w:rsid w:val="00A47029"/>
    <w:rsid w:val="00A47CEE"/>
    <w:rsid w:val="00A53527"/>
    <w:rsid w:val="00A53991"/>
    <w:rsid w:val="00A54DCE"/>
    <w:rsid w:val="00A56BB3"/>
    <w:rsid w:val="00A6339A"/>
    <w:rsid w:val="00A6760B"/>
    <w:rsid w:val="00A67ECF"/>
    <w:rsid w:val="00A71834"/>
    <w:rsid w:val="00A77FAA"/>
    <w:rsid w:val="00A9461F"/>
    <w:rsid w:val="00A97A6A"/>
    <w:rsid w:val="00AA1126"/>
    <w:rsid w:val="00AA3406"/>
    <w:rsid w:val="00AA460C"/>
    <w:rsid w:val="00AA69AA"/>
    <w:rsid w:val="00AB2DD1"/>
    <w:rsid w:val="00AB7558"/>
    <w:rsid w:val="00AC6950"/>
    <w:rsid w:val="00AD3B07"/>
    <w:rsid w:val="00AD75A9"/>
    <w:rsid w:val="00AF1611"/>
    <w:rsid w:val="00AF1EE9"/>
    <w:rsid w:val="00AF616F"/>
    <w:rsid w:val="00B0032F"/>
    <w:rsid w:val="00B053B6"/>
    <w:rsid w:val="00B05B66"/>
    <w:rsid w:val="00B07672"/>
    <w:rsid w:val="00B07A04"/>
    <w:rsid w:val="00B10E0B"/>
    <w:rsid w:val="00B143AA"/>
    <w:rsid w:val="00B40FC7"/>
    <w:rsid w:val="00B42855"/>
    <w:rsid w:val="00B46E9D"/>
    <w:rsid w:val="00B558AE"/>
    <w:rsid w:val="00B56519"/>
    <w:rsid w:val="00B6015A"/>
    <w:rsid w:val="00B62727"/>
    <w:rsid w:val="00B638B5"/>
    <w:rsid w:val="00B649F6"/>
    <w:rsid w:val="00B65834"/>
    <w:rsid w:val="00B66AEC"/>
    <w:rsid w:val="00B74B9C"/>
    <w:rsid w:val="00B75B5B"/>
    <w:rsid w:val="00B844B6"/>
    <w:rsid w:val="00B9381F"/>
    <w:rsid w:val="00B972B3"/>
    <w:rsid w:val="00BA66D8"/>
    <w:rsid w:val="00BC242C"/>
    <w:rsid w:val="00BC3674"/>
    <w:rsid w:val="00BC60CA"/>
    <w:rsid w:val="00BD6B1D"/>
    <w:rsid w:val="00BE0EFC"/>
    <w:rsid w:val="00BF1468"/>
    <w:rsid w:val="00BF1FB9"/>
    <w:rsid w:val="00BF3372"/>
    <w:rsid w:val="00BF621A"/>
    <w:rsid w:val="00BF6F27"/>
    <w:rsid w:val="00BF7CD6"/>
    <w:rsid w:val="00C12F65"/>
    <w:rsid w:val="00C20501"/>
    <w:rsid w:val="00C21BC0"/>
    <w:rsid w:val="00C22CFF"/>
    <w:rsid w:val="00C24C33"/>
    <w:rsid w:val="00C24DFC"/>
    <w:rsid w:val="00C265C5"/>
    <w:rsid w:val="00C31683"/>
    <w:rsid w:val="00C40649"/>
    <w:rsid w:val="00C429DA"/>
    <w:rsid w:val="00C52978"/>
    <w:rsid w:val="00C72BF5"/>
    <w:rsid w:val="00C77F0F"/>
    <w:rsid w:val="00C805D0"/>
    <w:rsid w:val="00C90D05"/>
    <w:rsid w:val="00C96725"/>
    <w:rsid w:val="00CA1B94"/>
    <w:rsid w:val="00CA5722"/>
    <w:rsid w:val="00CC1C29"/>
    <w:rsid w:val="00CC2CCD"/>
    <w:rsid w:val="00CC41EC"/>
    <w:rsid w:val="00CC49CE"/>
    <w:rsid w:val="00CC5B15"/>
    <w:rsid w:val="00CD74A4"/>
    <w:rsid w:val="00CD7F25"/>
    <w:rsid w:val="00CE3C04"/>
    <w:rsid w:val="00CE40F9"/>
    <w:rsid w:val="00CF21EF"/>
    <w:rsid w:val="00D025BA"/>
    <w:rsid w:val="00D1158B"/>
    <w:rsid w:val="00D12C2C"/>
    <w:rsid w:val="00D13E26"/>
    <w:rsid w:val="00D15CE4"/>
    <w:rsid w:val="00D1793C"/>
    <w:rsid w:val="00D17EB0"/>
    <w:rsid w:val="00D2749F"/>
    <w:rsid w:val="00D308B2"/>
    <w:rsid w:val="00D30B47"/>
    <w:rsid w:val="00D33387"/>
    <w:rsid w:val="00D376EC"/>
    <w:rsid w:val="00D429AF"/>
    <w:rsid w:val="00D460DA"/>
    <w:rsid w:val="00D471DC"/>
    <w:rsid w:val="00D60E99"/>
    <w:rsid w:val="00D63D62"/>
    <w:rsid w:val="00D71E7D"/>
    <w:rsid w:val="00D72BFE"/>
    <w:rsid w:val="00D72DB5"/>
    <w:rsid w:val="00D76BC4"/>
    <w:rsid w:val="00D842BC"/>
    <w:rsid w:val="00D90C2B"/>
    <w:rsid w:val="00D91077"/>
    <w:rsid w:val="00D93DE4"/>
    <w:rsid w:val="00DA706C"/>
    <w:rsid w:val="00DB1BA9"/>
    <w:rsid w:val="00DB51E8"/>
    <w:rsid w:val="00DB6593"/>
    <w:rsid w:val="00DC3C3F"/>
    <w:rsid w:val="00DC6377"/>
    <w:rsid w:val="00DD6BA8"/>
    <w:rsid w:val="00DF51BC"/>
    <w:rsid w:val="00E10E04"/>
    <w:rsid w:val="00E2349A"/>
    <w:rsid w:val="00E25E88"/>
    <w:rsid w:val="00E30091"/>
    <w:rsid w:val="00E36E20"/>
    <w:rsid w:val="00E44387"/>
    <w:rsid w:val="00E53849"/>
    <w:rsid w:val="00E54E44"/>
    <w:rsid w:val="00E60FAB"/>
    <w:rsid w:val="00E67F9F"/>
    <w:rsid w:val="00E70986"/>
    <w:rsid w:val="00E72AFB"/>
    <w:rsid w:val="00E73817"/>
    <w:rsid w:val="00E75DF8"/>
    <w:rsid w:val="00E76E7C"/>
    <w:rsid w:val="00E76FF4"/>
    <w:rsid w:val="00E77401"/>
    <w:rsid w:val="00E77D6C"/>
    <w:rsid w:val="00E81B45"/>
    <w:rsid w:val="00E824A7"/>
    <w:rsid w:val="00E83EA9"/>
    <w:rsid w:val="00E84C56"/>
    <w:rsid w:val="00E85821"/>
    <w:rsid w:val="00E85A6B"/>
    <w:rsid w:val="00E907B0"/>
    <w:rsid w:val="00E93906"/>
    <w:rsid w:val="00EA2BBE"/>
    <w:rsid w:val="00EB6531"/>
    <w:rsid w:val="00EC4E90"/>
    <w:rsid w:val="00EC6C15"/>
    <w:rsid w:val="00EC7F0B"/>
    <w:rsid w:val="00ED1437"/>
    <w:rsid w:val="00ED284E"/>
    <w:rsid w:val="00ED2F4A"/>
    <w:rsid w:val="00ED3124"/>
    <w:rsid w:val="00ED3BA1"/>
    <w:rsid w:val="00ED5A17"/>
    <w:rsid w:val="00EE7907"/>
    <w:rsid w:val="00F01327"/>
    <w:rsid w:val="00F05AC4"/>
    <w:rsid w:val="00F13B0D"/>
    <w:rsid w:val="00F2018C"/>
    <w:rsid w:val="00F20A21"/>
    <w:rsid w:val="00F36225"/>
    <w:rsid w:val="00F46F9F"/>
    <w:rsid w:val="00F53335"/>
    <w:rsid w:val="00F54495"/>
    <w:rsid w:val="00F65CFE"/>
    <w:rsid w:val="00F66EDC"/>
    <w:rsid w:val="00F67A91"/>
    <w:rsid w:val="00F7231F"/>
    <w:rsid w:val="00F72437"/>
    <w:rsid w:val="00F862E3"/>
    <w:rsid w:val="00F87B65"/>
    <w:rsid w:val="00F921F2"/>
    <w:rsid w:val="00FA0C63"/>
    <w:rsid w:val="00FA1768"/>
    <w:rsid w:val="00FA4873"/>
    <w:rsid w:val="00FA7435"/>
    <w:rsid w:val="00FB55C5"/>
    <w:rsid w:val="00FB7719"/>
    <w:rsid w:val="00FD3F9E"/>
    <w:rsid w:val="00FD483F"/>
    <w:rsid w:val="00FE75B2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9"/>
  </w:style>
  <w:style w:type="paragraph" w:styleId="Titre2">
    <w:name w:val="heading 2"/>
    <w:basedOn w:val="Normal"/>
    <w:link w:val="Titre2Car"/>
    <w:uiPriority w:val="9"/>
    <w:qFormat/>
    <w:rsid w:val="00FB771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1077"/>
    <w:rPr>
      <w:color w:val="0000FF" w:themeColor="hyperlink"/>
      <w:u w:val="single"/>
    </w:rPr>
  </w:style>
  <w:style w:type="paragraph" w:customStyle="1" w:styleId="indent">
    <w:name w:val="indent"/>
    <w:basedOn w:val="Normal"/>
    <w:rsid w:val="00D910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ti-12">
    <w:name w:val="cmti-12"/>
    <w:basedOn w:val="Policepardfaut"/>
    <w:rsid w:val="00D91077"/>
  </w:style>
  <w:style w:type="paragraph" w:styleId="Textedebulles">
    <w:name w:val="Balloon Text"/>
    <w:basedOn w:val="Normal"/>
    <w:link w:val="TextedebullesCar"/>
    <w:uiPriority w:val="99"/>
    <w:semiHidden/>
    <w:unhideWhenUsed/>
    <w:rsid w:val="00D910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077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Policepardfaut"/>
    <w:rsid w:val="0073059E"/>
  </w:style>
  <w:style w:type="paragraph" w:styleId="NormalWeb">
    <w:name w:val="Normal (Web)"/>
    <w:basedOn w:val="Normal"/>
    <w:uiPriority w:val="99"/>
    <w:semiHidden/>
    <w:unhideWhenUsed/>
    <w:rsid w:val="007305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B77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brunl01.users.greyc.fr/ENSEIGNEMENT/COURS/TR_IMG/node13.html" TargetMode="External"/><Relationship Id="rId25" Type="http://schemas.openxmlformats.org/officeDocument/2006/relationships/hyperlink" Target="https://brunl01.users.greyc.fr/ENSEIGNEMENT/COURS/TR_IMG/node11.html" TargetMode="External"/><Relationship Id="rId33" Type="http://schemas.openxmlformats.org/officeDocument/2006/relationships/hyperlink" Target="https://brunl01.users.greyc.fr/ENSEIGNEMENT/COURS/TR_IMG/node13.html" TargetMode="External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hyperlink" Target="https://brunl01.users.greyc.fr/ENSEIGNEMENT/COURS/TR_IMG/node11.html" TargetMode="External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brunl01.users.greyc.fr/ENSEIGNEMENT/COURS/TR_IMG/node13.html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runl01.users.greyc.fr/ENSEIGNEMENT/COURS/TR_IMG/node12.html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3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TP 3 : Le modèle de Nayar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</cp:lastModifiedBy>
  <cp:revision>3</cp:revision>
  <dcterms:created xsi:type="dcterms:W3CDTF">2022-05-15T04:05:00Z</dcterms:created>
  <dcterms:modified xsi:type="dcterms:W3CDTF">2022-05-15T04:10:00Z</dcterms:modified>
</cp:coreProperties>
</file>