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9C" w:rsidRDefault="00252B9C" w:rsidP="00252B9C">
      <w:pPr>
        <w:pStyle w:val="Paragraphedeliste"/>
        <w:bidi/>
        <w:spacing w:after="0" w:line="360" w:lineRule="auto"/>
        <w:jc w:val="center"/>
        <w:rPr>
          <w:rFonts w:ascii="Arabic Typesetting" w:hAnsi="Arabic Typesetting" w:cs="Arabic Typesetting"/>
          <w:sz w:val="96"/>
          <w:szCs w:val="96"/>
          <w:rtl/>
          <w:lang w:bidi="ar-DZ"/>
        </w:rPr>
      </w:pPr>
    </w:p>
    <w:p w:rsidR="00252B9C" w:rsidRDefault="00252B9C" w:rsidP="00252B9C">
      <w:pPr>
        <w:pStyle w:val="Paragraphedeliste"/>
        <w:bidi/>
        <w:spacing w:after="0" w:line="360" w:lineRule="auto"/>
        <w:jc w:val="center"/>
        <w:rPr>
          <w:rFonts w:ascii="Arabic Typesetting" w:hAnsi="Arabic Typesetting" w:cs="Arabic Typesetting"/>
          <w:sz w:val="96"/>
          <w:szCs w:val="96"/>
          <w:rtl/>
          <w:lang w:bidi="ar-DZ"/>
        </w:rPr>
      </w:pPr>
      <w:r>
        <w:rPr>
          <w:rFonts w:ascii="Arabic Typesetting" w:hAnsi="Arabic Typesetting" w:cs="Arabic Typesetting" w:hint="cs"/>
          <w:sz w:val="96"/>
          <w:szCs w:val="96"/>
          <w:rtl/>
          <w:lang w:bidi="ar-DZ"/>
        </w:rPr>
        <w:t>المحاضرة السابعة</w:t>
      </w:r>
    </w:p>
    <w:p w:rsidR="00252B9C" w:rsidRDefault="00252B9C" w:rsidP="00252B9C">
      <w:pPr>
        <w:pStyle w:val="Paragraphedeliste"/>
        <w:bidi/>
        <w:spacing w:after="0" w:line="360" w:lineRule="auto"/>
        <w:jc w:val="center"/>
        <w:rPr>
          <w:rFonts w:ascii="Arabic Typesetting" w:hAnsi="Arabic Typesetting" w:cs="Arabic Typesetting"/>
          <w:sz w:val="96"/>
          <w:szCs w:val="96"/>
          <w:rtl/>
          <w:lang w:bidi="ar-DZ"/>
        </w:rPr>
      </w:pPr>
      <w:r w:rsidRPr="004E3D17">
        <w:rPr>
          <w:rFonts w:ascii="Arabic Typesetting" w:hAnsi="Arabic Typesetting" w:cs="Arabic Typesetting"/>
          <w:sz w:val="96"/>
          <w:szCs w:val="96"/>
          <w:rtl/>
          <w:lang w:bidi="ar-DZ"/>
        </w:rPr>
        <w:t>نظرية القراءة وجماليات التلقي</w:t>
      </w:r>
    </w:p>
    <w:p w:rsidR="00252B9C" w:rsidRDefault="00252B9C" w:rsidP="00252B9C">
      <w:pPr>
        <w:pStyle w:val="Paragraphedeliste"/>
        <w:bidi/>
        <w:spacing w:after="0" w:line="360" w:lineRule="auto"/>
        <w:rPr>
          <w:rFonts w:ascii="Arabic Typesetting" w:hAnsi="Arabic Typesetting" w:cs="Arabic Typesetting"/>
          <w:sz w:val="96"/>
          <w:szCs w:val="96"/>
          <w:rtl/>
          <w:lang w:bidi="ar-DZ"/>
        </w:rPr>
      </w:pPr>
    </w:p>
    <w:p w:rsidR="00252B9C" w:rsidRDefault="00252B9C" w:rsidP="00252B9C">
      <w:pPr>
        <w:pStyle w:val="Paragraphedeliste"/>
        <w:bidi/>
        <w:spacing w:after="0" w:line="360" w:lineRule="auto"/>
        <w:rPr>
          <w:rFonts w:ascii="Arabic Typesetting" w:hAnsi="Arabic Typesetting" w:cs="Arabic Typesetting"/>
          <w:sz w:val="96"/>
          <w:szCs w:val="96"/>
          <w:rtl/>
          <w:lang w:bidi="ar-DZ"/>
        </w:rPr>
      </w:pPr>
    </w:p>
    <w:p w:rsidR="00252B9C" w:rsidRPr="005B3852" w:rsidRDefault="00252B9C" w:rsidP="00252B9C">
      <w:pPr>
        <w:bidi/>
        <w:spacing w:after="0" w:line="360" w:lineRule="auto"/>
        <w:rPr>
          <w:rFonts w:ascii="Arabic Typesetting" w:hAnsi="Arabic Typesetting" w:cs="Arabic Typesetting"/>
          <w:sz w:val="96"/>
          <w:szCs w:val="96"/>
          <w:rtl/>
          <w:lang w:bidi="ar-DZ"/>
        </w:rPr>
      </w:pPr>
    </w:p>
    <w:p w:rsidR="00252B9C" w:rsidRPr="004E3D17" w:rsidRDefault="00252B9C" w:rsidP="006E7989">
      <w:pPr>
        <w:pStyle w:val="Paragraphedeliste"/>
        <w:bidi/>
        <w:spacing w:after="0" w:line="36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تفاوتت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النظريات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الأدبية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تعاملها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الأدبي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الاعتماد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السياق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الخارجي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الذي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كُتب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ظله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المحاكاة،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التعبير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والانعكاس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وبين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الاعتماد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داخل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وماهية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نظرية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الخلق</w:t>
      </w:r>
      <w:r w:rsidR="006E79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حيث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الثاني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القرن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العشرين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اتجاها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جديدا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يسعى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قبضة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الحكم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حول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بنية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منخل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الذاتية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المتلقي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وقد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سبق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هذه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النظرية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مجموعة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المحاولات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التي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مهدت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لوجود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نظرية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التلقي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بما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فيها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التفكيك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والسيميولوجيا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والتأويل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حيث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كان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الاهتمام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بفعل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القراءة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الشغل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الشاغل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لها،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غير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نظرية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التلقي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ركزت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نوع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جديد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القراء،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لقارئ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الواعي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المتفاعل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 w:rsidRPr="004E3D17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النظريات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السابقة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تأثرت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بالفلسفات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الوضعية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والتجريبية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والمناهج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العلمية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والموضوعية،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نظرية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التلقي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ارتكزت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الفلسفة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الظاهرتية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هوسرل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 (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فلسفة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ذاتية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المنطلق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لتحديد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وفهم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الموضوع،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سبيل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الإدراك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والتصور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الموضوع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خارج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المدركة،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فالمعنى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الموضوعي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ينشأ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بعد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تكون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الظاهرة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معنى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محضا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الشعور،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يكون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الارتداد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عالم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المحسوسات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الخارجية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المادية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عالم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الشعور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الداخلي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الصرف</w:t>
      </w:r>
      <w:r w:rsidRPr="004E3D17">
        <w:rPr>
          <w:rFonts w:ascii="Simplified Arabic" w:hAnsi="Simplified Arabic" w:cs="Simplified Arabic"/>
          <w:sz w:val="32"/>
          <w:szCs w:val="32"/>
          <w:lang w:bidi="ar-DZ"/>
        </w:rPr>
        <w:t>) .</w:t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حاولت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نظرية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التلقي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تجمع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اركانا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لظاهرة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الأدبية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الأديب،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المتلقي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فرفضت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حصر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المعنى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قط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كان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نظرية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الخلق،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تجعل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دور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القارئ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محورا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الكشف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المعنى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إعادة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بنائه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وإنتاجه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جديد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وفق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 ل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مرجعيات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ذاتية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قائمة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الفهم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قبل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القارئ</w:t>
      </w:r>
      <w:r w:rsidRPr="004E3D17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تكاملت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نظرية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التلقي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سبعينيات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القرن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العشرين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لتنبذ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كلم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عرفة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محددة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مسبقا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ذهن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القارئ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وتحول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العلاقة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القارئ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وتحول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العلاقة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القارئ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علاقة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حوارية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ينتج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فهم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حسب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مرجعيات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هذا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الأخير</w:t>
      </w:r>
      <w:r w:rsidRPr="004E3D17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يعد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ياوس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أبرز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أعلام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نظرية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التلقي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ذلك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خلال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طرحه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لمفهوم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أفق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التوقع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ويقصد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بأفق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التوقع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أفق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انتظار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القارئ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الفضاء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خلاله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بناء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المعنى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ويكمن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دور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القارئ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هنا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خلال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التأويل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باعتبار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الوسيط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تلقيه</w:t>
      </w:r>
      <w:r>
        <w:rPr>
          <w:rFonts w:ascii="Simplified Arabic" w:hAnsi="Simplified Arabic" w:cs="Simplified Arabic"/>
          <w:sz w:val="32"/>
          <w:szCs w:val="32"/>
          <w:lang w:bidi="ar-DZ"/>
        </w:rPr>
        <w:t>(</w:t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قام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مفهوم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أفقا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لانتظار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ياوس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ثلاثة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عوامل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رئيسة</w:t>
      </w:r>
      <w:r w:rsidRPr="004E3D17">
        <w:rPr>
          <w:rFonts w:ascii="Simplified Arabic" w:hAnsi="Simplified Arabic" w:cs="Simplified Arabic"/>
          <w:sz w:val="32"/>
          <w:szCs w:val="32"/>
          <w:lang w:bidi="ar-DZ"/>
        </w:rPr>
        <w:t>:</w:t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E3D17">
        <w:rPr>
          <w:rFonts w:ascii="Simplified Arabic" w:hAnsi="Simplified Arabic" w:cs="Simplified Arabic"/>
          <w:sz w:val="32"/>
          <w:szCs w:val="32"/>
          <w:lang w:bidi="ar-DZ"/>
        </w:rPr>
        <w:t>-</w:t>
      </w:r>
      <w:r w:rsidRPr="004E3D17">
        <w:rPr>
          <w:rFonts w:ascii="Simplified Arabic" w:hAnsi="Simplified Arabic" w:cs="Simplified Arabic"/>
          <w:sz w:val="32"/>
          <w:szCs w:val="32"/>
          <w:lang w:bidi="ar-DZ"/>
        </w:rPr>
        <w:tab/>
        <w:t xml:space="preserve">"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التجربة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المسبقة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اكتسبها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الجمهور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الجنس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ينتمي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إليه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مثلا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الشعر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النثر</w:t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E3D17">
        <w:rPr>
          <w:rFonts w:ascii="Simplified Arabic" w:hAnsi="Simplified Arabic" w:cs="Simplified Arabic"/>
          <w:sz w:val="32"/>
          <w:szCs w:val="32"/>
          <w:lang w:bidi="ar-DZ"/>
        </w:rPr>
        <w:t>-</w:t>
      </w:r>
      <w:r w:rsidRPr="004E3D17">
        <w:rPr>
          <w:rFonts w:ascii="Simplified Arabic" w:hAnsi="Simplified Arabic" w:cs="Simplified Arabic"/>
          <w:sz w:val="32"/>
          <w:szCs w:val="32"/>
          <w:lang w:bidi="ar-DZ"/>
        </w:rPr>
        <w:tab/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تشكيل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الأعمال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السابقة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وموضوعاتها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يختزلها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القارئ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ذهنه</w:t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E3D17">
        <w:rPr>
          <w:rFonts w:ascii="Simplified Arabic" w:hAnsi="Simplified Arabic" w:cs="Simplified Arabic"/>
          <w:sz w:val="32"/>
          <w:szCs w:val="32"/>
          <w:lang w:bidi="ar-DZ"/>
        </w:rPr>
        <w:t>-</w:t>
      </w:r>
      <w:r w:rsidRPr="004E3D17">
        <w:rPr>
          <w:rFonts w:ascii="Simplified Arabic" w:hAnsi="Simplified Arabic" w:cs="Simplified Arabic"/>
          <w:sz w:val="32"/>
          <w:szCs w:val="32"/>
          <w:lang w:bidi="ar-DZ"/>
        </w:rPr>
        <w:tab/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التعارض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اللغة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الأدبية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واللغة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العادية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أي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التعارض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العالم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التخييلي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والواقعي</w:t>
      </w:r>
      <w:r w:rsidRPr="004E3D17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نبه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ياوس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مفهوم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تغير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الأفق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وبناء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الأفق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الجديد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خلال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اكتساب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وعي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جديد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أي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المسافة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الانتظار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الموجود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سلفا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والعمل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الجديد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حيث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تتم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عملية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بناء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المعنى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وانتاجه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داخل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مفهوم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أفق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الانتظار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بتفاعل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تاريخ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والخبرة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الجمالية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عند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المتلقي</w:t>
      </w:r>
      <w:r w:rsidRPr="004E3D17">
        <w:rPr>
          <w:rFonts w:ascii="Simplified Arabic" w:hAnsi="Simplified Arabic" w:cs="Simplified Arabic"/>
          <w:sz w:val="32"/>
          <w:szCs w:val="32"/>
          <w:lang w:bidi="ar-DZ"/>
        </w:rPr>
        <w:t xml:space="preserve">" </w:t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لقد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أسهم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ياوس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سياقة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مبادئ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نظرية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التلقي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حيث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ركز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نقطة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هامة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ألا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وهي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اشراك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المتلقي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بناء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المعنى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خلال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الوعي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والادراك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أي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القصدية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حيث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القراءة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لديه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نشاط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ذاتي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نتاجه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المعنى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ووقد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نتج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ذلك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اسماه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القارئ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الضمني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عوضا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القارئ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الحقيقي</w:t>
      </w:r>
      <w:r w:rsidRPr="004E3D17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إن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القارئ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ضمني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أهم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المصطلحات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نظرية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التلقي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فقد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حاول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إيزر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يمنح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القارئ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القدرة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اكساب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السمة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التوافق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والانسجام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فقال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التوافق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ليس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موجودا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وإنما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نتاج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لفعل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القارئ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فهمه،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فالقارئ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يبني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انسجام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لقد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افترض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إيزر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فجوات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تتطلب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القارئ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ملأها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لسد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الثغرات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وخلق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توافق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وانسجامه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جديد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القارئ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تهتم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هذه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النظرية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ليس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قارئا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عاديا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يتلقى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بطريقة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سلبية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وفق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المبدأ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التسليم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وإنما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القارئ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المقصود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هنا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ذلك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القارئ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المثقف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ينطلق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تفسيره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للنص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وعيه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بأفقه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وأفق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الآخرين،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فالنص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يحتوي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هائل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الدلالات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يتقيد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تأويله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ويتحدد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فهمه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وكل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ذلك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مخلا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للغة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والعلاقات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المتشابكة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يتكون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منها</w:t>
      </w:r>
      <w:r w:rsidRPr="004E3D17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لغوي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يحمل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دلالة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ثقافية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وحضارية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مجتمع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ويلتزم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بقدر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الموضوعية،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فيأتي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D3AC1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النب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غموض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فراغاته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سطرها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الكاتب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منتظرا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القارئ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يملأها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ليكون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التعامل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جماليا،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فاللغة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وبناء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D3AC1">
        <w:rPr>
          <w:rFonts w:ascii="Simplified Arabic" w:hAnsi="Simplified Arabic" w:cs="Simplified Arabic" w:hint="cs"/>
          <w:color w:val="FF0000"/>
          <w:sz w:val="32"/>
          <w:szCs w:val="32"/>
          <w:rtl/>
          <w:lang w:bidi="ar-DZ"/>
        </w:rPr>
        <w:t>النتلزم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القارئ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بقدر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الوفاء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لمقاصد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الكاتب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وطبيعة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العصر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كتب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 w:rsidRPr="004E3D17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52B9C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لقد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أحدثت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نظرية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جمالية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التلقي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والتأويل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ثورة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عارمة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مجال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الدراسات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والنقدية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تاريخ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الحديث،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بوصفها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نمطا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جديدا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الدرس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الأدبي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وقد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Times New Roman" w:hAnsi="Times New Roman" w:cs="Times New Roman" w:hint="cs"/>
          <w:sz w:val="32"/>
          <w:szCs w:val="32"/>
          <w:rtl/>
          <w:lang w:bidi="ar-DZ"/>
        </w:rPr>
        <w:t>″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كان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أرسطو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تاريخ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الحركة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النقدية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أبرز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رواد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الفكر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اليوناني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اهتماما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بفلسـفة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التلقي،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مفهوم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الجمال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استقبال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رصيده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الفكري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والنقدي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يتمثل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لنا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اهتمامه،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بهذه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المسألة،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وكأنهـا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محور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هام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يستقطب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تفكيره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ويستجمع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فلسفته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الحديث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أجناس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</w:t>
      </w:r>
      <w:r w:rsidRPr="004E3D17">
        <w:rPr>
          <w:rFonts w:ascii="Times New Roman" w:hAnsi="Times New Roman" w:cs="Times New Roman" w:hint="cs"/>
          <w:sz w:val="32"/>
          <w:szCs w:val="32"/>
          <w:rtl/>
          <w:lang w:bidi="ar-DZ"/>
        </w:rPr>
        <w:t>‟</w:t>
      </w:r>
      <w:r w:rsidRPr="00D94F70">
        <w:rPr>
          <w:rStyle w:val="Appelnotedebasdep"/>
          <w:rFonts w:ascii="Simplified Arabic" w:hAnsi="Simplified Arabic" w:cs="Simplified Arabic"/>
          <w:sz w:val="32"/>
          <w:szCs w:val="32"/>
          <w:rtl/>
        </w:rPr>
        <w:footnoteReference w:id="1"/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،إذ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يعد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كتابه</w:t>
      </w:r>
      <w:r>
        <w:rPr>
          <w:rFonts w:ascii="Cambria Math" w:hAnsi="Cambria Math" w:cs="Cambria Math" w:hint="cs"/>
          <w:sz w:val="32"/>
          <w:szCs w:val="32"/>
          <w:rtl/>
          <w:lang w:bidi="ar-DZ"/>
        </w:rPr>
        <w:t>(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الشعر</w:t>
      </w:r>
      <w:r>
        <w:rPr>
          <w:rFonts w:ascii="Cambria Math" w:hAnsi="Cambria Math" w:cs="Cambria Math" w:hint="cs"/>
          <w:sz w:val="32"/>
          <w:szCs w:val="32"/>
          <w:rtl/>
          <w:lang w:bidi="ar-DZ"/>
        </w:rPr>
        <w:t xml:space="preserve">)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باشتماله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فكرة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التطهير،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بوصفها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مقولة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أساسية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مقولات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التجربة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الجمالية،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تقوم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وتنهض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استجابة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المتلقي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وردود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أفعاله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تجاه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الأثر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الأدبي،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أقدم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تصوير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لنظرية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تقوم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استجابة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الجمهور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المتلقي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بدور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أساسي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بمعنى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تاريخ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نظرية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التلقي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والتأوي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ليعود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نظرية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المحاكاة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أرسطو</w:t>
      </w:r>
      <w:r w:rsidRPr="004E3D17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252B9C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العملية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الإبداعية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عملية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معقدة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فهي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تسعى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مجمل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أهدافها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إشراك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واسع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وفعلي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للمتلقي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بغية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تطوير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ذوقه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الجمالي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خلال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التواصل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الحثيث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النصوص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الفنية،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حيث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حضوره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أضحى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نافذا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منذ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وضع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اللبنات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الأولى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لكتابة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الرواية،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فانتقل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دور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المستهلك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مرتبة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الشريك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المحاور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يملأ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الفراغات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يلزم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الكاتب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بتركها،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استطاع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يرغم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الكاتب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يوما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بعد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يوم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إسقاط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الأقنعة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اللغوية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والبلاغية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طالما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تدثر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الأصول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المعرفية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لنظرية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التلقي؟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موقع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التلقي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والتأويل؟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علاقة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القارئ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بالنص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الإبداعي؟</w:t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القارئ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النموذجي؟</w:t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E3D17">
        <w:rPr>
          <w:rFonts w:ascii="Simplified Arabic" w:hAnsi="Simplified Arabic" w:cs="Simplified Arabic"/>
          <w:sz w:val="32"/>
          <w:szCs w:val="32"/>
          <w:lang w:bidi="ar-DZ"/>
        </w:rPr>
        <w:lastRenderedPageBreak/>
        <w:t>1.</w:t>
      </w:r>
      <w:r w:rsidRPr="004E3D17">
        <w:rPr>
          <w:rFonts w:ascii="Simplified Arabic" w:hAnsi="Simplified Arabic" w:cs="Simplified Arabic"/>
          <w:sz w:val="32"/>
          <w:szCs w:val="32"/>
          <w:lang w:bidi="ar-DZ"/>
        </w:rPr>
        <w:tab/>
      </w:r>
      <w:r w:rsidRPr="0058085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الأصول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58085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المعرفية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58085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لنظرية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58085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التلقي</w:t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جمالية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التلقي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كغيرها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النظريات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النقدية،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تقوم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مجموعة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الأسس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والمرتكزات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تشكل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مرجعيتها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الفكرية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والفلسفية،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ذلك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”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معظم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المذاهب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النقدية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تنهض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أصلها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خلفيات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فلسفية،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نكاد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نظفر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بمذهب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نقدي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واحد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يقوم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أصل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نفسه،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وينطلق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صميم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ذاتها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لأدبية،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ذلك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ليس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معرفة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علمية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مؤسسة،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تنهض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المنطق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الصارم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والبرهنة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العلمية،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ولكنه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معرفة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أدبية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جمالية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أساسها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الخيال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والإنشاء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قبل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شيء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آخر</w:t>
      </w:r>
      <w:r w:rsidRPr="004E3D17">
        <w:rPr>
          <w:rFonts w:ascii="Times New Roman" w:hAnsi="Times New Roman" w:cs="Times New Roman" w:hint="cs"/>
          <w:sz w:val="32"/>
          <w:szCs w:val="32"/>
          <w:rtl/>
          <w:lang w:bidi="ar-DZ"/>
        </w:rPr>
        <w:t>‟</w:t>
      </w:r>
      <w:r w:rsidRPr="00D94F70">
        <w:rPr>
          <w:rStyle w:val="Appelnotedebasdep"/>
          <w:rFonts w:ascii="Simplified Arabic" w:hAnsi="Simplified Arabic" w:cs="Simplified Arabic"/>
          <w:sz w:val="32"/>
          <w:szCs w:val="32"/>
          <w:rtl/>
        </w:rPr>
        <w:footnoteReference w:id="2"/>
      </w:r>
    </w:p>
    <w:p w:rsidR="00252B9C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وترجع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أصول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جمالية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التلقي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فلسفتين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عرفتا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ألمانيا،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الظاهراتية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والهرمينوطيقا،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حيث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إشكالات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الفهم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والتأويل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والإدراك،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وكذا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إشكالية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الذاتية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والموضوعية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علاقة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بالموضوع،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كانت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المسألة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الأساسية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الهرمينوطيقا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والفن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ومنولوجيا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السواء،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هذين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الاتجاهين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كانا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يشكلان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الجهة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الأخرى،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الخلفية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المعرفية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تأسست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عليها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نظرية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التلقي</w:t>
      </w:r>
      <w:r w:rsidRPr="00D94F70">
        <w:rPr>
          <w:rStyle w:val="Appelnotedebasdep"/>
          <w:rFonts w:ascii="Simplified Arabic" w:hAnsi="Simplified Arabic" w:cs="Simplified Arabic"/>
          <w:sz w:val="32"/>
          <w:szCs w:val="32"/>
          <w:rtl/>
        </w:rPr>
        <w:footnoteReference w:id="3"/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فالمفاهيم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جاءت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هاتان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الفلسفتان،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تحولت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نظرية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تؤطر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ترسانة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المفاهيم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والأدوات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الإجرائية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صاغتها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‹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مدرسة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كوستانس</w:t>
      </w:r>
      <w:r w:rsidRPr="004E3D17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›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الألمانية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بزعامة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”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هانس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روبيرت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ياوس</w:t>
      </w:r>
      <w:r w:rsidRPr="004E3D17">
        <w:rPr>
          <w:rFonts w:ascii="Times New Roman" w:hAnsi="Times New Roman" w:cs="Times New Roman" w:hint="cs"/>
          <w:sz w:val="32"/>
          <w:szCs w:val="32"/>
          <w:rtl/>
          <w:lang w:bidi="ar-DZ"/>
        </w:rPr>
        <w:t>‟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”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فولف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غانغآيزر</w:t>
      </w:r>
      <w:r w:rsidRPr="004E3D17">
        <w:rPr>
          <w:rFonts w:ascii="Times New Roman" w:hAnsi="Times New Roman" w:cs="Times New Roman"/>
          <w:sz w:val="32"/>
          <w:szCs w:val="32"/>
          <w:lang w:bidi="ar-DZ"/>
        </w:rPr>
        <w:t>‟</w:t>
      </w:r>
      <w:r w:rsidRPr="004E3D17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252B9C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52B9C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52B9C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52B9C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52B9C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52B9C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379E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الشكلانيون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الروس</w:t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بحث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الشكلانيون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الروس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آليات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وتقنياته،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بغية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الوصول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الخصائص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الجوهرية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تتشكل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مادة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البناء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الدبي،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الأساس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ليس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يقوله،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الفكرة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يتضمنها،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وإنما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الطريقة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تقديم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الفكرة،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فالأفكار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مطروحة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الطريق،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والذي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يجب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يثير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الاهتمام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الشكل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اللغوي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الموظف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توظيفا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خاصا،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حيث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تكون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المادة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الأساسية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يتعامل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القارئ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وفق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نظرته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الأولوية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وإدراكه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الشعري،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حيث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”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يعد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الإدراك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الشعري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ضربا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ضروب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اختيار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الشكل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والإحساس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ويتضح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هذه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التصورات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مفهوم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صارت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ركيزة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أساسية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للشعرية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المعاصرة</w:t>
      </w:r>
      <w:r w:rsidRPr="004E3D17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…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قاعدة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متينة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لنظرية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التلقي</w:t>
      </w:r>
      <w:r w:rsidRPr="004E3D17">
        <w:rPr>
          <w:rFonts w:ascii="Times New Roman" w:hAnsi="Times New Roman" w:cs="Times New Roman" w:hint="cs"/>
          <w:sz w:val="32"/>
          <w:szCs w:val="32"/>
          <w:rtl/>
          <w:lang w:bidi="ar-DZ"/>
        </w:rPr>
        <w:t>‟</w:t>
      </w:r>
      <w:r w:rsidRPr="00D94F70">
        <w:rPr>
          <w:rStyle w:val="Appelnotedebasdep"/>
          <w:rFonts w:ascii="Simplified Arabic" w:hAnsi="Simplified Arabic" w:cs="Simplified Arabic"/>
          <w:sz w:val="32"/>
          <w:szCs w:val="32"/>
          <w:rtl/>
        </w:rPr>
        <w:footnoteReference w:id="4"/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وكان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اهتمامهم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أيضا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بالأداة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الفنية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تساعد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إدراك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الصورة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الشعرية،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بدورها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تسهم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خلق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إدراك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متميز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للشيء،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تخلق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رؤيا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تقدم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معرفة،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يهم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المتلقي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ليس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كان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عليه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الشيء،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وإنما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اختيار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سيكون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عليه</w:t>
      </w:r>
      <w:r w:rsidRPr="00D94F70">
        <w:rPr>
          <w:rStyle w:val="Appelnotedebasdep"/>
          <w:rFonts w:ascii="Simplified Arabic" w:hAnsi="Simplified Arabic" w:cs="Simplified Arabic"/>
          <w:sz w:val="32"/>
          <w:szCs w:val="32"/>
          <w:rtl/>
        </w:rPr>
        <w:footnoteReference w:id="5"/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هذه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الأدوات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الفنية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ساهمت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تقريب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المتلقي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انطلاقا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بنائه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الخارجي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محتواه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الداخلي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يتمثل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الإدراك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الجمالي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للصورة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الشعرية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>. ”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مهم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ألمانيا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ليس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التركيز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المكثف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العمل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دبي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الجذور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اللغوية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والتشعبات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ولكن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التحول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نقطة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الأفضلية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العلاقة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القارئ</w:t>
      </w:r>
      <w:r w:rsidRPr="004E3D17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–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بتوسيع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مفهوم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الشكل،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ليشمل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الإدراك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الجمالي،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بتحديد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عمل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ووسائله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بتوجيه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الاهتمام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إجراءات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التفسير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ذاتها</w:t>
      </w:r>
      <w:r w:rsidRPr="00D94F70">
        <w:rPr>
          <w:rStyle w:val="Appelnotedebasdep"/>
          <w:rFonts w:ascii="Simplified Arabic" w:hAnsi="Simplified Arabic" w:cs="Simplified Arabic"/>
          <w:sz w:val="32"/>
          <w:szCs w:val="32"/>
          <w:rtl/>
        </w:rPr>
        <w:footnoteReference w:id="6"/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وقد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رفض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الشكلانيون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المقاربات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كانت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سائدة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بغض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النظر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طبيعتها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الفلسفية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الاجتماعية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النفسية</w:t>
      </w:r>
      <w:r w:rsidRPr="004E3D17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…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مادامت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تنطلق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خارج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يقول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ﺇيخنباوم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”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ﺇن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الشكلانيين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اعتراضهم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المناهج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أنكروا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يزالون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ينكرون،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ليس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تلك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المناهج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ذاتها،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وإنما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الخلط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اللامسؤول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علوم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مختلفة</w:t>
      </w:r>
      <w:r w:rsidRPr="004E3D17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…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لقد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اعتبرنا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نزال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نعتبر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كشرط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أساسي،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موضوع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يجب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يكون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دراسة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الخصو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النوعية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للموضوعات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تميزها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مادة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أخرى</w:t>
      </w:r>
      <w:r w:rsidRPr="004E3D17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…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>..</w:t>
      </w:r>
      <w:r w:rsidRPr="004E3D17">
        <w:rPr>
          <w:rFonts w:ascii="Times New Roman" w:hAnsi="Times New Roman" w:cs="Times New Roman" w:hint="cs"/>
          <w:sz w:val="32"/>
          <w:szCs w:val="32"/>
          <w:rtl/>
          <w:lang w:bidi="ar-DZ"/>
        </w:rPr>
        <w:t>‟</w:t>
      </w:r>
      <w:r w:rsidRPr="00D94F70">
        <w:rPr>
          <w:rStyle w:val="Appelnotedebasdep"/>
          <w:rFonts w:ascii="Simplified Arabic" w:hAnsi="Simplified Arabic" w:cs="Simplified Arabic"/>
          <w:sz w:val="32"/>
          <w:szCs w:val="32"/>
          <w:rtl/>
        </w:rPr>
        <w:footnoteReference w:id="7"/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مهمة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الشعرية،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الشكلانيين،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تتلخص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تتبع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الخصوصيات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الأصيلة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تميز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غيره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المجالات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الفنية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والعلمية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يدخل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حوار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مفتوح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خلال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شبكة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العلاقات،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تسعى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الدراسة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النقدية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كشف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خيوطها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وإبراز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مظاهرها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التفاعلية،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وهذا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حاول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الشكلانيون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تجسيده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خلال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الدراسة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العلمية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والوصفية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للأسلوب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باعتباره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عُدولا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الأنماط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اللغوية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المعتادة،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يقول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ﺇخنباوم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>: ”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أجل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تدعيم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مبدأ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النوعية</w:t>
      </w:r>
      <w:r w:rsidRPr="004E3D17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…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دون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الرجوع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جمال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أدبي،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كان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الضروري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مقابلة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المتوالية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بمتوالية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أخرى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الواقع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اختيارها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عدد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كبير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المتواليات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الموجودة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نظرا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لتداخلها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بالمتوالية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قيامها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بوظيفة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مختلفة</w:t>
      </w:r>
      <w:r w:rsidRPr="004E3D17">
        <w:rPr>
          <w:rFonts w:ascii="Times New Roman" w:hAnsi="Times New Roman" w:cs="Times New Roman" w:hint="cs"/>
          <w:sz w:val="32"/>
          <w:szCs w:val="32"/>
          <w:rtl/>
          <w:lang w:bidi="ar-DZ"/>
        </w:rPr>
        <w:t>‟</w:t>
      </w:r>
      <w:r w:rsidRPr="00D94F70">
        <w:rPr>
          <w:rStyle w:val="Appelnotedebasdep"/>
          <w:rFonts w:ascii="Simplified Arabic" w:hAnsi="Simplified Arabic" w:cs="Simplified Arabic"/>
          <w:sz w:val="32"/>
          <w:szCs w:val="32"/>
          <w:rtl/>
        </w:rPr>
        <w:footnoteReference w:id="8"/>
      </w:r>
    </w:p>
    <w:p w:rsidR="00252B9C" w:rsidRPr="00AB379E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AB379E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مدرسة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براغ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البنيوية</w:t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مساهمة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حلقة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براغ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يمكن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إغفالها،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خاصة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مجال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القراءة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والتلقي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الجمالي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للنص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الأدبي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ويظهر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ذلك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جليا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أعمال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المنظرين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الكبار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للمدرسة،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أمثال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موكارفسكي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>. ”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لقد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كانت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أعمال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موكارفسكي</w:t>
      </w:r>
      <w:r w:rsidRPr="004E3D17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–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أحد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أهم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منظر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يمدرسة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براغ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البنيوية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أكثر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المصادر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النظرية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سيادة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ألمانيا،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وخصوصا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خلال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السنوات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الأخيرة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الستينات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والسنوات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الأولى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العقد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السبعين،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حيث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ظهرت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ترجمات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ألمانية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لعدد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كبير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كتاباته،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وحيثما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كانت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تذكر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نظرية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التلقي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البنيوية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ألمانيا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كانت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إشارة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موكاروفسكي</w:t>
      </w:r>
      <w:r w:rsidRPr="00D94F70">
        <w:rPr>
          <w:rStyle w:val="Appelnotedebasdep"/>
          <w:rFonts w:ascii="Simplified Arabic" w:hAnsi="Simplified Arabic" w:cs="Simplified Arabic"/>
          <w:sz w:val="32"/>
          <w:szCs w:val="32"/>
          <w:rtl/>
        </w:rPr>
        <w:footnoteReference w:id="9"/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وهذا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راجع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بالأساس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قرب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الطرح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المنهجي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والنقدي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للناقد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الأهداف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العامة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تدعو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إليها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نظرية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التلقي،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حيث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”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يتضح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إيحاء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موكار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فسكي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بنظرية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التلقي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أكثر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يتضح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عندما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يحدد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الإطار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العام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للفن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عنده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بوصفه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نظاما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حيويا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دالا،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ووفقا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لهذا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المفهوم،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يصبح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عمل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فني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مفرد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ببنيته،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ولكنها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بنية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مرجعيات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غير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مستقلة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التاريخ،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ولكنها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تشكل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وتتحد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خلال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أنساق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متعاقبة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الزمن</w:t>
      </w:r>
      <w:r w:rsidRPr="004E3D17">
        <w:rPr>
          <w:rFonts w:ascii="Times New Roman" w:hAnsi="Times New Roman" w:cs="Times New Roman" w:hint="cs"/>
          <w:sz w:val="32"/>
          <w:szCs w:val="32"/>
          <w:rtl/>
          <w:lang w:bidi="ar-DZ"/>
        </w:rPr>
        <w:t>‟</w:t>
      </w:r>
      <w:r w:rsidRPr="00D94F70">
        <w:rPr>
          <w:rStyle w:val="Appelnotedebasdep"/>
          <w:rFonts w:ascii="Simplified Arabic" w:hAnsi="Simplified Arabic" w:cs="Simplified Arabic"/>
          <w:sz w:val="32"/>
          <w:szCs w:val="32"/>
          <w:rtl/>
        </w:rPr>
        <w:footnoteReference w:id="10"/>
      </w:r>
    </w:p>
    <w:p w:rsidR="00252B9C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فهو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يفصل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العمل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بنية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النسق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التاريخي،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يرى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فهم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العمل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رسالة،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جانب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كونه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موضوعا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جماليا،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وبهذا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يتوجه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متلق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نتاج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العلاقات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الاجتماعية،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لذلك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يصبح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العمل ا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لفني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يحتل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مكانا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السياق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الملائم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لفحص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الاستجابة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الجمالية</w:t>
      </w:r>
      <w:r w:rsidRPr="004E3D17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252B9C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52B9C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52B9C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52B9C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52B9C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52B9C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52B9C" w:rsidRDefault="00252B9C" w:rsidP="00252B9C">
      <w:pPr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65E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ظواهرية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رومان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انجاردن</w:t>
      </w:r>
      <w:r w:rsidRPr="00265E98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(</w:t>
      </w:r>
      <w:r w:rsidRPr="00265E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الفينومينولوجيا):</w:t>
      </w:r>
    </w:p>
    <w:p w:rsidR="00252B9C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لقد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هذا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الاتجاه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عملية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التلقي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خلال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العلاقة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القائمة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والقارئ،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وأكد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دور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المتلقي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تحيين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المعنى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وجعله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جزءا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مكتسباته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القبلية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والبعدية،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”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الظا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راتيين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يوجد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يتحقق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يصبح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راهنا،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ولهذا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ينبغي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تبني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وجهة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المؤول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مرتبطة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بنصه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وبتدخلاته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المحكومة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بمكوناته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الثقافية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والمعرفية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الخاصة</w:t>
      </w:r>
      <w:r w:rsidRPr="004E3D17">
        <w:rPr>
          <w:rFonts w:ascii="Times New Roman" w:hAnsi="Times New Roman" w:cs="Times New Roman" w:hint="cs"/>
          <w:sz w:val="32"/>
          <w:szCs w:val="32"/>
          <w:rtl/>
          <w:lang w:bidi="ar-DZ"/>
        </w:rPr>
        <w:t>‟</w:t>
      </w:r>
      <w:r w:rsidRPr="00D94F70">
        <w:rPr>
          <w:rStyle w:val="Appelnotedebasdep"/>
          <w:rFonts w:ascii="Simplified Arabic" w:hAnsi="Simplified Arabic" w:cs="Simplified Arabic"/>
          <w:sz w:val="32"/>
          <w:szCs w:val="32"/>
          <w:rtl/>
        </w:rPr>
        <w:footnoteReference w:id="11"/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تأثر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رواد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هذه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النظرية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(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سيما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آيزروياوس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بالفكر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الظاهراتي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«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هوسرل</w:t>
      </w:r>
      <w:r w:rsidRPr="004E3D17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»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«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غادمير</w:t>
      </w:r>
      <w:r w:rsidRPr="004E3D17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حتى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«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هيدجر</w:t>
      </w:r>
      <w:r w:rsidRPr="004E3D17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»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واشتقوا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مصطلحاتهم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الخاصة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ومفاهيمهم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مثل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أفق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الانتظار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المسافة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الجمالية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فراغات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الواقع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الجمالي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أعانتهم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وضع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قواعد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لتقبل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وصوت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أويلها</w:t>
      </w:r>
      <w:r w:rsidRPr="004E3D17">
        <w:rPr>
          <w:rFonts w:ascii="Times New Roman" w:hAnsi="Times New Roman" w:cs="Times New Roman" w:hint="cs"/>
          <w:sz w:val="32"/>
          <w:szCs w:val="32"/>
          <w:rtl/>
          <w:lang w:bidi="ar-DZ"/>
        </w:rPr>
        <w:t>‟</w:t>
      </w:r>
      <w:r w:rsidRPr="00D94F70">
        <w:rPr>
          <w:rStyle w:val="Appelnotedebasdep"/>
          <w:rFonts w:ascii="Simplified Arabic" w:hAnsi="Simplified Arabic" w:cs="Simplified Arabic"/>
          <w:sz w:val="32"/>
          <w:szCs w:val="32"/>
          <w:rtl/>
        </w:rPr>
        <w:footnoteReference w:id="12"/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وأبرز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المفاهيم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الظاهراتية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المؤثرة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نظرية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التلقي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مفهوم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التعالي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والقصدية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ودورهما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تنمية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العلاقة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المتلقية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والبنية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النصية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>. ”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ويبدو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مفهوم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التعالي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النواة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المهيمنة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الفكر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الظاهراتي،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وقصد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«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هوسرل</w:t>
      </w:r>
      <w:r w:rsidRPr="004E3D17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»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المعنى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الموضوعي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ينشأ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بعد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تكون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الظاهرة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معنى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محضا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الشعور،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بعد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الارتداد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عالم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المحسوسات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الخارجية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المادية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عالم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الشعور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الداخلي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الخالص</w:t>
      </w:r>
      <w:r w:rsidRPr="004E3D17">
        <w:rPr>
          <w:rFonts w:ascii="Times New Roman" w:hAnsi="Times New Roman" w:cs="Times New Roman" w:hint="cs"/>
          <w:sz w:val="32"/>
          <w:szCs w:val="32"/>
          <w:rtl/>
          <w:lang w:bidi="ar-DZ"/>
        </w:rPr>
        <w:t>‟</w:t>
      </w:r>
      <w:r w:rsidRPr="00D94F70">
        <w:rPr>
          <w:rStyle w:val="Appelnotedebasdep"/>
          <w:rFonts w:ascii="Simplified Arabic" w:hAnsi="Simplified Arabic" w:cs="Simplified Arabic"/>
          <w:sz w:val="32"/>
          <w:szCs w:val="32"/>
          <w:rtl/>
        </w:rPr>
        <w:footnoteReference w:id="13"/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ومعنى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هذا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عملية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البحث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المعنى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تكون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العوامل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الداخلية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للذات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الإنسانية،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وذلك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أجل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تكوين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خلاصة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شعورية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قائمة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الفهم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العميق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ونابعة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التأمل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الدقيق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للظواهر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المادية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الخارجية</w:t>
      </w:r>
      <w:r w:rsidRPr="004E3D17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252B9C" w:rsidRPr="00AB379E" w:rsidRDefault="00252B9C" w:rsidP="00252B9C">
      <w:pPr>
        <w:bidi/>
        <w:spacing w:after="0"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B379E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ab/>
      </w:r>
      <w:r w:rsidRPr="00AB379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الهرمنوطيقا</w:t>
      </w:r>
      <w:r w:rsidRPr="00AB379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/</w:t>
      </w:r>
      <w:r w:rsidRPr="00AB379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التأويلية</w:t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الهرمنوطيقا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مشتقة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الكلمة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اليونانية</w:t>
      </w:r>
      <w:r w:rsidRPr="004E3D17">
        <w:rPr>
          <w:rFonts w:ascii="Simplified Arabic" w:hAnsi="Simplified Arabic" w:cs="Simplified Arabic"/>
          <w:sz w:val="32"/>
          <w:szCs w:val="32"/>
          <w:lang w:bidi="ar-DZ"/>
        </w:rPr>
        <w:t xml:space="preserve"> ”Hermeneia</w:t>
      </w:r>
      <w:r w:rsidRPr="004E3D17">
        <w:rPr>
          <w:rFonts w:ascii="Times New Roman" w:hAnsi="Times New Roman" w:cs="Times New Roman"/>
          <w:sz w:val="32"/>
          <w:szCs w:val="32"/>
          <w:lang w:bidi="ar-DZ"/>
        </w:rPr>
        <w:t>‟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التأويل</w:t>
      </w:r>
      <w:r w:rsidRPr="00D94F70">
        <w:rPr>
          <w:rStyle w:val="Appelnotedebasdep"/>
          <w:rFonts w:ascii="Simplified Arabic" w:hAnsi="Simplified Arabic" w:cs="Simplified Arabic"/>
          <w:sz w:val="32"/>
          <w:szCs w:val="32"/>
          <w:rtl/>
        </w:rPr>
        <w:footnoteReference w:id="14"/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تشير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الجهود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التأويلية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مارسها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الإنسان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لتفسير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النصوص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وفهمها،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والبحث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المعاني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المضمرة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باطن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برده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بداياته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الأولى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ومصادره،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الدلالة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تتفق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تعريف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ابن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منظور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للتأويل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>: ”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التأويل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المرجع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والمصير،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مأخوذ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آل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يؤول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كذا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صار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إليه</w:t>
      </w:r>
      <w:r w:rsidRPr="004E3D17">
        <w:rPr>
          <w:rFonts w:ascii="Times New Roman" w:hAnsi="Times New Roman" w:cs="Times New Roman" w:hint="cs"/>
          <w:sz w:val="32"/>
          <w:szCs w:val="32"/>
          <w:rtl/>
          <w:lang w:bidi="ar-DZ"/>
        </w:rPr>
        <w:t>‟</w:t>
      </w:r>
      <w:r w:rsidRPr="00D94F70">
        <w:rPr>
          <w:rStyle w:val="Appelnotedebasdep"/>
          <w:rFonts w:ascii="Simplified Arabic" w:hAnsi="Simplified Arabic" w:cs="Simplified Arabic"/>
          <w:sz w:val="32"/>
          <w:szCs w:val="32"/>
          <w:rtl/>
        </w:rPr>
        <w:footnoteReference w:id="15"/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ويرجع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الفضل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نقل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الهرمنوطيقا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الحالة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التقليدية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اللاهوتية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حالة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جديدة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أكثر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فاعلية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تجعلها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حاضرة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النصوص،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الباحث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”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فريديريك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شلايرماخر</w:t>
      </w:r>
      <w:r w:rsidRPr="004E3D17">
        <w:rPr>
          <w:rFonts w:ascii="Times New Roman" w:hAnsi="Times New Roman" w:cs="Times New Roman" w:hint="cs"/>
          <w:sz w:val="32"/>
          <w:szCs w:val="32"/>
          <w:rtl/>
          <w:lang w:bidi="ar-DZ"/>
        </w:rPr>
        <w:t>‟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واعتبر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هذا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إيذانا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لمرحلة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أصبحت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الهرمنوطيقا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خصوصيته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الساعية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توفير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فهم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صحيح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لكل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قول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مهما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كان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نوعه،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وبالتالي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”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يعود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إليه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الفضل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نقل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دائرة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الاستخدام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اللاهوتي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ليكون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فنا،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لعملية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الفهم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وشروطها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تحليل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النصوص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وهكذا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تباعد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”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شلايرماخر</w:t>
      </w:r>
      <w:r w:rsidRPr="004E3D17">
        <w:rPr>
          <w:rFonts w:ascii="Times New Roman" w:hAnsi="Times New Roman" w:cs="Times New Roman" w:hint="cs"/>
          <w:sz w:val="32"/>
          <w:szCs w:val="32"/>
          <w:rtl/>
          <w:lang w:bidi="ar-DZ"/>
        </w:rPr>
        <w:t>‟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بالتأويلية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بشكل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نهائي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تكون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خدمة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خاص،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ووصل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تكون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بذاتها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يؤسس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عملية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الفهم،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وبالتالي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عملية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التفسير</w:t>
      </w:r>
      <w:r w:rsidRPr="004E3D17">
        <w:rPr>
          <w:rFonts w:ascii="Times New Roman" w:hAnsi="Times New Roman" w:cs="Times New Roman" w:hint="cs"/>
          <w:sz w:val="32"/>
          <w:szCs w:val="32"/>
          <w:rtl/>
          <w:lang w:bidi="ar-DZ"/>
        </w:rPr>
        <w:t>‟</w:t>
      </w:r>
      <w:r w:rsidRPr="00D94F70">
        <w:rPr>
          <w:rStyle w:val="Appelnotedebasdep"/>
          <w:rFonts w:ascii="Simplified Arabic" w:hAnsi="Simplified Arabic" w:cs="Simplified Arabic"/>
          <w:sz w:val="32"/>
          <w:szCs w:val="32"/>
          <w:rtl/>
        </w:rPr>
        <w:footnoteReference w:id="16"/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ثم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نقل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الممارسة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التأويلية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وضع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الاحتكار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الكنيسي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اللاهوتي،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وضع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أداتي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مشاع،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الارتقاء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درجة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يؤسس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لعملية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الفهم،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محاولة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لإيجاد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تأصيل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هجيل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عملية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تأويل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النصوص،عبر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الانتقال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وضع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التأويل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للنصوص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بكل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تمظهراتها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وأنواعها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معنى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الفهم</w:t>
      </w:r>
      <w:r w:rsidRPr="004E3D17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252B9C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الهرمنوطيقا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عند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”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شلايرماخر</w:t>
      </w:r>
      <w:r w:rsidRPr="004E3D17">
        <w:rPr>
          <w:rFonts w:ascii="Times New Roman" w:hAnsi="Times New Roman" w:cs="Times New Roman" w:hint="cs"/>
          <w:sz w:val="32"/>
          <w:szCs w:val="32"/>
          <w:rtl/>
          <w:lang w:bidi="ar-DZ"/>
        </w:rPr>
        <w:t>‟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تشكل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مفارقة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جديدة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للنمط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التقليدي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السائد،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وتتضح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هذه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المفارقة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بملاحظة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الدافع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نحو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تأسيس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منهج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للفهم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«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شلايرماخر</w:t>
      </w:r>
      <w:r w:rsidRPr="004E3D17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»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”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يبدأ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بالبحث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مصدر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التأويل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جده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ظاهرة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سوء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الفهم،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حيث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تثير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الحاجة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الفهم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وتلك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الحاجة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تتحول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إذا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استطعنا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نتزود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بشروط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الفهم</w:t>
      </w:r>
      <w:r w:rsidRPr="004E3D17">
        <w:rPr>
          <w:rFonts w:ascii="Times New Roman" w:hAnsi="Times New Roman" w:cs="Times New Roman" w:hint="cs"/>
          <w:sz w:val="32"/>
          <w:szCs w:val="32"/>
          <w:rtl/>
          <w:lang w:bidi="ar-DZ"/>
        </w:rPr>
        <w:t>‟</w:t>
      </w:r>
      <w:r w:rsidRPr="00D94F70">
        <w:rPr>
          <w:rStyle w:val="Appelnotedebasdep"/>
          <w:rFonts w:ascii="Simplified Arabic" w:hAnsi="Simplified Arabic" w:cs="Simplified Arabic"/>
          <w:sz w:val="32"/>
          <w:szCs w:val="32"/>
          <w:rtl/>
        </w:rPr>
        <w:footnoteReference w:id="17"/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يجعل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الضروري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إيجاد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منهج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تأويل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يعصمنا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سوء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الفهم،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وهذا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خلاف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النمط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التقليدي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ينطلق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إمكانية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الفهم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لشيء</w:t>
      </w:r>
      <w:r w:rsidRPr="004E3D17">
        <w:rPr>
          <w:rFonts w:ascii="Simplified Arabic" w:hAnsi="Simplified Arabic" w:cs="Simplified Arabic"/>
          <w:sz w:val="32"/>
          <w:szCs w:val="32"/>
          <w:lang w:bidi="ar-DZ"/>
        </w:rPr>
        <w:t xml:space="preserve">. </w:t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الكيفية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يقترحها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«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شلايرماخر</w:t>
      </w:r>
      <w:r w:rsidRPr="004E3D17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للفهم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فتعتمد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تحليل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الحالة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الإبداعية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ترتبط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بالحياة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الداخلية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والخارجية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للمبدع،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يجعل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الضروري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لفهم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الإبداع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استصحاب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كلا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الحالتين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عملية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الفهم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اعتراف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واضح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بالذات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المبدعة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وعدم إهمالها،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الواقع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اعتراف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بالقصد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المستبطن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هنا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يكتسب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تصورا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جديدا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عند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«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شلايرماخر</w:t>
      </w:r>
      <w:r w:rsidRPr="004E3D17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يصبح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تجليا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لحياة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المبدع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”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وإذا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كان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الأمر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كذلك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فإن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المهم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الممارسة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الهرمنيوطيقية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ليست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فسير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المقاطع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فحسب،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وإدراك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أصله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ومنبعه،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بزوغه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الحياة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الفردية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لمؤلفه</w:t>
      </w:r>
      <w:r w:rsidRPr="004E3D17">
        <w:rPr>
          <w:rFonts w:ascii="Times New Roman" w:hAnsi="Times New Roman" w:cs="Times New Roman" w:hint="cs"/>
          <w:sz w:val="32"/>
          <w:szCs w:val="32"/>
          <w:rtl/>
          <w:lang w:bidi="ar-DZ"/>
        </w:rPr>
        <w:t>‟</w:t>
      </w:r>
      <w:r w:rsidRPr="00D94F70">
        <w:rPr>
          <w:rStyle w:val="Appelnotedebasdep"/>
          <w:rFonts w:ascii="Simplified Arabic" w:hAnsi="Simplified Arabic" w:cs="Simplified Arabic"/>
          <w:sz w:val="32"/>
          <w:szCs w:val="32"/>
          <w:rtl/>
        </w:rPr>
        <w:footnoteReference w:id="18"/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وتتجاوز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وظيفة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الهرمنوطيقي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حينها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تفسير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لتصل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اكتشاف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التجربة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الحياتية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للمبدع،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ليس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مجرد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وصف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تصوير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يستمد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وجوده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الخارج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فحسب،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وإنما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أيضا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مفعم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بحياة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الآخر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عندما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يعكس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التجربة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الداخلية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للمبدع،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وتكون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اللغة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وقتها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وسيطا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لنقل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تلك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التجربة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هذا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البعد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نتعرف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الحالة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الرومانسية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وصفت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هرمنوطيقا</w:t>
      </w:r>
      <w:r w:rsidRPr="004E3D1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«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شلايرماخر</w:t>
      </w:r>
      <w:r w:rsidRPr="004E3D17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لأنها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تؤكد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دور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المبدع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حساب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الواقع،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وتعتبر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تعبيرا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لعالمه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الداخلي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موازي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اله</w:t>
      </w:r>
      <w:r w:rsidRPr="004E3D17">
        <w:rPr>
          <w:rFonts w:ascii="Simplified Arabic" w:hAnsi="Simplified Arabic" w:cs="Simplified Arabic"/>
          <w:sz w:val="32"/>
          <w:szCs w:val="32"/>
          <w:lang w:bidi="ar-DZ"/>
        </w:rPr>
        <w:t xml:space="preserve">. </w:t>
      </w:r>
    </w:p>
    <w:p w:rsidR="00252B9C" w:rsidRPr="005B3852" w:rsidRDefault="00252B9C" w:rsidP="00252B9C">
      <w:pPr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52B9C" w:rsidRPr="00AB379E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AB379E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خاتمة</w:t>
      </w:r>
    </w:p>
    <w:p w:rsidR="00252B9C" w:rsidRPr="002111BC" w:rsidRDefault="00252B9C" w:rsidP="00252B9C">
      <w:pPr>
        <w:pStyle w:val="Paragraphedeliste"/>
        <w:bidi/>
        <w:spacing w:after="0" w:line="36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MA"/>
        </w:rPr>
      </w:pP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lastRenderedPageBreak/>
        <w:t>إن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الشيء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الأساسي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في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قراءة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كل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عمل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أدبي،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هو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التفاعل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بين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بنيته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النصية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ومتلقيه</w:t>
      </w:r>
      <w:r w:rsidRPr="002111BC">
        <w:rPr>
          <w:rFonts w:ascii="Simplified Arabic" w:eastAsia="Times New Roman" w:hAnsi="Simplified Arabic" w:cs="Simplified Arabic"/>
          <w:sz w:val="32"/>
          <w:szCs w:val="32"/>
          <w:rtl/>
          <w:lang w:eastAsia="fr-FR" w:bidi="ar-MA"/>
        </w:rPr>
        <w:t xml:space="preserve">.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فالنص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ذاته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لا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يقدم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إلا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مظاهر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خطاطية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يمكن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من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خلالها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أن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ينتج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الموضوع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الجمالي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للنص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بين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ما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يحدث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الإنتاج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الفعلي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من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فعل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التحقق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الذي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ينجزه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القارئ</w:t>
      </w:r>
      <w:r w:rsidRPr="002111BC">
        <w:rPr>
          <w:rFonts w:ascii="Simplified Arabic" w:eastAsia="Times New Roman" w:hAnsi="Simplified Arabic" w:cs="Simplified Arabic"/>
          <w:sz w:val="32"/>
          <w:szCs w:val="32"/>
          <w:lang w:eastAsia="fr-FR" w:bidi="ar-MA"/>
        </w:rPr>
        <w:t>.</w:t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فجمالية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التفاعل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لا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تظهر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إلا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من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خلال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مرور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القارئ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عبر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مختلف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وجهات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النظر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التي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يقدمها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النص،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ويربط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الآراء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والنماذج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المختلفة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بعضها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ببعض</w:t>
      </w:r>
      <w:r w:rsidRPr="002111BC">
        <w:rPr>
          <w:rFonts w:ascii="Simplified Arabic" w:eastAsia="Times New Roman" w:hAnsi="Simplified Arabic" w:cs="Simplified Arabic"/>
          <w:sz w:val="32"/>
          <w:szCs w:val="32"/>
          <w:rtl/>
          <w:lang w:eastAsia="fr-FR" w:bidi="ar-MA"/>
        </w:rPr>
        <w:t xml:space="preserve">.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هذا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الفعل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الحركي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الذي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يقوم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بها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لقارئ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يجعل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العمل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الأدبي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يتحرك،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كما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يجعل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نفسه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حركة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كذلك</w:t>
      </w:r>
      <w:r w:rsidRPr="002111BC">
        <w:rPr>
          <w:rFonts w:ascii="Simplified Arabic" w:eastAsia="Times New Roman" w:hAnsi="Simplified Arabic" w:cs="Simplified Arabic"/>
          <w:sz w:val="32"/>
          <w:szCs w:val="32"/>
          <w:rtl/>
          <w:lang w:eastAsia="fr-FR" w:bidi="ar-MA"/>
        </w:rPr>
        <w:t xml:space="preserve">.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لأن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الموقع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الفعلي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للعمل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يقع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بين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النص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والقارئ،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إذ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أن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من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الواضح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أن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تحقيق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التفاعل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هو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نتيجة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للتفاعل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بين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 xml:space="preserve"> </w:t>
      </w:r>
      <w:r w:rsidRPr="002111BC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الاثني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</w:t>
      </w:r>
      <w:r w:rsidRPr="004E3D17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252B9C" w:rsidRPr="004E3D17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52B9C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52B9C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52B9C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52B9C" w:rsidRDefault="00252B9C" w:rsidP="00252B9C">
      <w:pPr>
        <w:pStyle w:val="Paragraphedeliste"/>
        <w:bidi/>
        <w:spacing w:after="0"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52B9C" w:rsidRDefault="00252B9C" w:rsidP="00252B9C">
      <w:pPr>
        <w:bidi/>
        <w:spacing w:after="0" w:line="360" w:lineRule="auto"/>
        <w:jc w:val="center"/>
        <w:rPr>
          <w:rFonts w:ascii="Arabic Typesetting" w:eastAsia="Times New Roman" w:hAnsi="Arabic Typesetting" w:cs="Arabic Typesetting"/>
          <w:sz w:val="96"/>
          <w:szCs w:val="96"/>
          <w:rtl/>
          <w:lang w:eastAsia="fr-FR" w:bidi="ar-MA"/>
        </w:rPr>
      </w:pPr>
    </w:p>
    <w:p w:rsidR="00252B9C" w:rsidRDefault="00252B9C" w:rsidP="00252B9C">
      <w:pPr>
        <w:bidi/>
        <w:spacing w:after="0" w:line="360" w:lineRule="auto"/>
        <w:jc w:val="center"/>
        <w:rPr>
          <w:rFonts w:ascii="Arabic Typesetting" w:eastAsia="Times New Roman" w:hAnsi="Arabic Typesetting" w:cs="Arabic Typesetting"/>
          <w:sz w:val="96"/>
          <w:szCs w:val="96"/>
          <w:rtl/>
          <w:lang w:eastAsia="fr-FR" w:bidi="ar-MA"/>
        </w:rPr>
      </w:pPr>
    </w:p>
    <w:p w:rsidR="00086EAE" w:rsidRDefault="00086EAE">
      <w:bookmarkStart w:id="0" w:name="_GoBack"/>
      <w:bookmarkEnd w:id="0"/>
    </w:p>
    <w:sectPr w:rsidR="00086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D1C" w:rsidRDefault="00530D1C" w:rsidP="00252B9C">
      <w:pPr>
        <w:spacing w:after="0" w:line="240" w:lineRule="auto"/>
      </w:pPr>
      <w:r>
        <w:separator/>
      </w:r>
    </w:p>
  </w:endnote>
  <w:endnote w:type="continuationSeparator" w:id="0">
    <w:p w:rsidR="00530D1C" w:rsidRDefault="00530D1C" w:rsidP="0025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D1C" w:rsidRDefault="00530D1C" w:rsidP="00252B9C">
      <w:pPr>
        <w:spacing w:after="0" w:line="240" w:lineRule="auto"/>
      </w:pPr>
      <w:r>
        <w:separator/>
      </w:r>
    </w:p>
  </w:footnote>
  <w:footnote w:type="continuationSeparator" w:id="0">
    <w:p w:rsidR="00530D1C" w:rsidRDefault="00530D1C" w:rsidP="00252B9C">
      <w:pPr>
        <w:spacing w:after="0" w:line="240" w:lineRule="auto"/>
      </w:pPr>
      <w:r>
        <w:continuationSeparator/>
      </w:r>
    </w:p>
  </w:footnote>
  <w:footnote w:id="1">
    <w:p w:rsidR="00252B9C" w:rsidRPr="00AB379E" w:rsidRDefault="00252B9C" w:rsidP="00252B9C">
      <w:pPr>
        <w:pStyle w:val="Notedebasdepage"/>
        <w:bidi/>
        <w:rPr>
          <w:rFonts w:cs="Arial"/>
          <w:sz w:val="22"/>
          <w:szCs w:val="22"/>
        </w:rPr>
      </w:pPr>
      <w:r w:rsidRPr="00AB379E">
        <w:rPr>
          <w:rStyle w:val="Appelnotedebasdep"/>
          <w:sz w:val="24"/>
          <w:szCs w:val="24"/>
        </w:rPr>
        <w:footnoteRef/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محمود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عباس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الواحد،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قراءة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النص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وجماليات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التلقي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المذاهب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الغربية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الحديثة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وتراثنا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النقدي</w:t>
      </w:r>
      <w:r w:rsidRPr="00AB379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دراسة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مقارنة</w:t>
      </w:r>
      <w:r w:rsidRPr="00AB379E">
        <w:rPr>
          <w:rFonts w:ascii="Simplified Arabic" w:hAnsi="Simplified Arabic" w:cs="Simplified Arabic"/>
          <w:sz w:val="28"/>
          <w:szCs w:val="28"/>
          <w:rtl/>
          <w:lang w:bidi="ar-DZ"/>
        </w:rPr>
        <w:t>),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الفكر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العربي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القاهرة،</w:t>
      </w:r>
      <w:r w:rsidRPr="00AB379E">
        <w:rPr>
          <w:rFonts w:ascii="Simplified Arabic" w:hAnsi="Simplified Arabic" w:cs="Simplified Arabic"/>
          <w:sz w:val="28"/>
          <w:szCs w:val="28"/>
          <w:rtl/>
          <w:lang w:bidi="ar-DZ"/>
        </w:rPr>
        <w:t>1996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م،ص</w:t>
      </w:r>
      <w:r w:rsidRPr="00AB379E">
        <w:rPr>
          <w:rFonts w:ascii="Simplified Arabic" w:hAnsi="Simplified Arabic" w:cs="Simplified Arabic"/>
          <w:sz w:val="28"/>
          <w:szCs w:val="28"/>
          <w:rtl/>
          <w:lang w:bidi="ar-DZ"/>
        </w:rPr>
        <w:t>45</w:t>
      </w:r>
    </w:p>
  </w:footnote>
  <w:footnote w:id="2">
    <w:p w:rsidR="00252B9C" w:rsidRPr="00580856" w:rsidRDefault="00252B9C" w:rsidP="00252B9C">
      <w:pPr>
        <w:pStyle w:val="Paragraphedeliste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755FE">
        <w:rPr>
          <w:rStyle w:val="Appelnotedebasdep"/>
          <w:sz w:val="28"/>
          <w:szCs w:val="28"/>
        </w:rPr>
        <w:footnoteRef/>
      </w:r>
      <w:r w:rsidRPr="005808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808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808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مرتاض،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808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808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808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النقد</w:t>
      </w:r>
      <w:r w:rsidRPr="0058085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 w:rsidRPr="005808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متابعة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808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لأهم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808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المدارس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808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النقدية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808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المعاصرة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808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ورصد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808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لنظرياتها</w:t>
      </w:r>
      <w:r w:rsidRPr="00580856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r w:rsidRPr="005808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808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دارهومة،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808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الجزائر،دط،</w:t>
      </w:r>
      <w:r w:rsidRPr="0058085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2002</w:t>
      </w:r>
      <w:r w:rsidRPr="005808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م،ص</w:t>
      </w:r>
      <w:r w:rsidRPr="00580856">
        <w:rPr>
          <w:rFonts w:ascii="Simplified Arabic" w:hAnsi="Simplified Arabic" w:cs="Simplified Arabic"/>
          <w:sz w:val="28"/>
          <w:szCs w:val="28"/>
          <w:rtl/>
          <w:lang w:bidi="ar-DZ"/>
        </w:rPr>
        <w:t>79</w:t>
      </w:r>
      <w:r w:rsidRPr="0058085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252B9C" w:rsidRPr="00052138" w:rsidRDefault="00252B9C" w:rsidP="00252B9C">
      <w:pPr>
        <w:pStyle w:val="Notedebasdepage"/>
        <w:bidi/>
        <w:rPr>
          <w:rFonts w:cs="Arial"/>
          <w:sz w:val="24"/>
          <w:szCs w:val="24"/>
          <w:lang w:bidi="ar-DZ"/>
        </w:rPr>
      </w:pPr>
    </w:p>
  </w:footnote>
  <w:footnote w:id="3">
    <w:p w:rsidR="00252B9C" w:rsidRPr="00580856" w:rsidRDefault="00252B9C" w:rsidP="00252B9C">
      <w:pPr>
        <w:pStyle w:val="Paragraphedeliste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755FE">
        <w:rPr>
          <w:rStyle w:val="Appelnotedebasdep"/>
          <w:sz w:val="28"/>
          <w:szCs w:val="28"/>
        </w:rPr>
        <w:footnoteRef/>
      </w:r>
      <w:r w:rsidRPr="005808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عبدالكريم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808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شرفي،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808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808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فلسفات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808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التأويل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808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808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نظريات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808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القراءة،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808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منشورات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808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الاختلاف،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808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الجزائر،ط</w:t>
      </w:r>
      <w:r w:rsidRPr="0058085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</w:t>
      </w:r>
      <w:r w:rsidRPr="005808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58085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2007</w:t>
      </w:r>
      <w:r w:rsidRPr="005808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م،ص</w:t>
      </w:r>
      <w:r w:rsidRPr="0058085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14</w:t>
      </w:r>
      <w:r w:rsidRPr="0058085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252B9C" w:rsidRPr="00052138" w:rsidRDefault="00252B9C" w:rsidP="00252B9C">
      <w:pPr>
        <w:pStyle w:val="Paragraphedeliste"/>
        <w:bidi/>
        <w:spacing w:after="0" w:line="240" w:lineRule="auto"/>
        <w:rPr>
          <w:sz w:val="24"/>
          <w:szCs w:val="24"/>
          <w:lang w:bidi="ar-DZ"/>
        </w:rPr>
      </w:pPr>
    </w:p>
  </w:footnote>
  <w:footnote w:id="4">
    <w:p w:rsidR="00252B9C" w:rsidRPr="00265E98" w:rsidRDefault="00252B9C" w:rsidP="00252B9C">
      <w:pPr>
        <w:pStyle w:val="Paragraphedeliste"/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D755FE">
        <w:rPr>
          <w:rStyle w:val="Appelnotedebasdep"/>
          <w:sz w:val="28"/>
          <w:szCs w:val="28"/>
        </w:rPr>
        <w:footnoteRef/>
      </w:r>
      <w:r w:rsidRPr="00265E9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عبد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روبرت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هولب،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التلقي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مقدمة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نقدية،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ترجمة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عز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إسماعيل،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المكتبة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الأكاديمية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القاهرة،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</w:t>
      </w:r>
      <w:r w:rsidRPr="00265E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265E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2000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م،ص</w:t>
      </w:r>
      <w:r w:rsidRPr="00265E98">
        <w:rPr>
          <w:rFonts w:ascii="Simplified Arabic" w:hAnsi="Simplified Arabic" w:cs="Simplified Arabic"/>
          <w:sz w:val="28"/>
          <w:szCs w:val="28"/>
          <w:rtl/>
          <w:lang w:bidi="ar-DZ"/>
        </w:rPr>
        <w:t>48</w:t>
      </w:r>
      <w:r w:rsidRPr="00265E98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</w:footnote>
  <w:footnote w:id="5">
    <w:p w:rsidR="00252B9C" w:rsidRPr="00265E98" w:rsidRDefault="00252B9C" w:rsidP="00252B9C">
      <w:pPr>
        <w:pStyle w:val="Paragraphedeliste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755FE">
        <w:rPr>
          <w:rStyle w:val="Appelnotedebasdep"/>
          <w:sz w:val="28"/>
          <w:szCs w:val="28"/>
        </w:rPr>
        <w:footnoteRef/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أحمد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يوسف،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القراءة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النسقية</w:t>
      </w:r>
      <w:r w:rsidRPr="00265E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سلطة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ووهم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المحايثة</w:t>
      </w:r>
      <w:r w:rsidRPr="00265E98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،منشورات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الاختلاف،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الجزائر،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</w:t>
      </w:r>
      <w:r w:rsidRPr="00265E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265E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2003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م،ص</w:t>
      </w:r>
      <w:r w:rsidRPr="00265E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94</w:t>
      </w:r>
      <w:r w:rsidRPr="00265E98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252B9C" w:rsidRPr="00052138" w:rsidRDefault="00252B9C" w:rsidP="00252B9C">
      <w:pPr>
        <w:pStyle w:val="Paragraphedeliste"/>
        <w:bidi/>
        <w:spacing w:after="0" w:line="240" w:lineRule="auto"/>
        <w:rPr>
          <w:sz w:val="24"/>
          <w:szCs w:val="24"/>
          <w:lang w:bidi="ar-DZ"/>
        </w:rPr>
      </w:pPr>
    </w:p>
  </w:footnote>
  <w:footnote w:id="6">
    <w:p w:rsidR="00252B9C" w:rsidRPr="00265E98" w:rsidRDefault="00252B9C" w:rsidP="00252B9C">
      <w:pPr>
        <w:pStyle w:val="Paragraphedeliste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755FE">
        <w:rPr>
          <w:rStyle w:val="Appelnotedebasdep"/>
          <w:sz w:val="28"/>
          <w:szCs w:val="28"/>
        </w:rPr>
        <w:footnoteRef/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روبرت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هولب،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الاستقبال</w:t>
      </w:r>
      <w:r w:rsidRPr="00265E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(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مقدمةنقدية</w:t>
      </w:r>
      <w:r w:rsidRPr="00265E98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ترجمة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رعد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عبدالجليل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جواد،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الحوار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للنشر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والتوزيع،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اللاذقية،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سوريا،ط</w:t>
      </w:r>
      <w:r w:rsidRPr="00265E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،دت،ص</w:t>
      </w:r>
      <w:r w:rsidRPr="00265E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30</w:t>
      </w:r>
      <w:r w:rsidRPr="00265E98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252B9C" w:rsidRPr="00265E98" w:rsidRDefault="00252B9C" w:rsidP="00252B9C">
      <w:pPr>
        <w:pStyle w:val="Paragraphedeliste"/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265E98">
        <w:rPr>
          <w:rFonts w:ascii="Simplified Arabic" w:hAnsi="Simplified Arabic" w:cs="Simplified Arabic"/>
          <w:sz w:val="24"/>
          <w:szCs w:val="24"/>
          <w:lang w:bidi="ar-DZ"/>
        </w:rPr>
        <w:t>.</w:t>
      </w:r>
    </w:p>
    <w:p w:rsidR="00252B9C" w:rsidRPr="00052138" w:rsidRDefault="00252B9C" w:rsidP="00252B9C">
      <w:pPr>
        <w:pStyle w:val="Paragraphedeliste"/>
        <w:bidi/>
        <w:spacing w:after="0" w:line="240" w:lineRule="auto"/>
        <w:rPr>
          <w:sz w:val="24"/>
          <w:szCs w:val="24"/>
          <w:lang w:bidi="ar-DZ"/>
        </w:rPr>
      </w:pPr>
    </w:p>
  </w:footnote>
  <w:footnote w:id="7">
    <w:p w:rsidR="00252B9C" w:rsidRPr="00265E98" w:rsidRDefault="00252B9C" w:rsidP="00252B9C">
      <w:pPr>
        <w:pStyle w:val="Paragraphedeliste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755FE">
        <w:rPr>
          <w:rStyle w:val="Appelnotedebasdep"/>
          <w:sz w:val="28"/>
          <w:szCs w:val="28"/>
        </w:rPr>
        <w:footnoteRef/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المنهج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الشكلي</w:t>
      </w:r>
      <w:r w:rsidRPr="00265E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نصوص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الشكلانيين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الروس،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ترجمة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عبدالكريم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الخطيب،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مؤسسة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الأبحاث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العربية،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بيروت،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لبنان،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والشركة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المغربية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للناشرين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المتحدين،الرباط،ط</w:t>
      </w:r>
      <w:r w:rsidRPr="00265E98">
        <w:rPr>
          <w:rFonts w:ascii="Simplified Arabic" w:hAnsi="Simplified Arabic" w:cs="Simplified Arabic"/>
          <w:sz w:val="28"/>
          <w:szCs w:val="28"/>
          <w:rtl/>
          <w:lang w:bidi="ar-DZ"/>
        </w:rPr>
        <w:t>1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265E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1982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م،ص</w:t>
      </w:r>
      <w:r w:rsidRPr="00265E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10</w:t>
      </w:r>
      <w:r w:rsidRPr="00265E98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252B9C" w:rsidRPr="00052138" w:rsidRDefault="00252B9C" w:rsidP="00252B9C">
      <w:pPr>
        <w:pStyle w:val="Paragraphedeliste"/>
        <w:bidi/>
        <w:spacing w:after="0" w:line="240" w:lineRule="auto"/>
        <w:rPr>
          <w:sz w:val="24"/>
          <w:szCs w:val="24"/>
          <w:lang w:bidi="ar-DZ"/>
        </w:rPr>
      </w:pPr>
    </w:p>
  </w:footnote>
  <w:footnote w:id="8">
    <w:p w:rsidR="00252B9C" w:rsidRPr="00265E98" w:rsidRDefault="00252B9C" w:rsidP="00252B9C">
      <w:pPr>
        <w:pStyle w:val="Paragraphedeliste"/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D755FE">
        <w:rPr>
          <w:rStyle w:val="Appelnotedebasdep"/>
          <w:sz w:val="28"/>
          <w:szCs w:val="28"/>
        </w:rPr>
        <w:footnoteRef/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المنهج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الشكلي</w:t>
      </w:r>
      <w:r w:rsidRPr="00265E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نصوص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الشكلانيين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الروس،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ترجمة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عبدالكريم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الخطيب،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مؤسسة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الأبحاث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العربية،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بيروت،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لبنان،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والشركة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المغربية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للناشرين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المتحدين،الرباط،ط</w:t>
      </w:r>
      <w:r w:rsidRPr="00265E98">
        <w:rPr>
          <w:rFonts w:ascii="Simplified Arabic" w:hAnsi="Simplified Arabic" w:cs="Simplified Arabic"/>
          <w:sz w:val="28"/>
          <w:szCs w:val="28"/>
          <w:rtl/>
          <w:lang w:bidi="ar-DZ"/>
        </w:rPr>
        <w:t>1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265E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1982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م،ص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36</w:t>
      </w:r>
      <w:r w:rsidRPr="00265E98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</w:footnote>
  <w:footnote w:id="9">
    <w:p w:rsidR="00252B9C" w:rsidRPr="00265E98" w:rsidRDefault="00252B9C" w:rsidP="00252B9C">
      <w:pPr>
        <w:pStyle w:val="Paragraphedeliste"/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D755FE">
        <w:rPr>
          <w:rStyle w:val="Appelnotedebasdep"/>
          <w:sz w:val="28"/>
          <w:szCs w:val="28"/>
        </w:rPr>
        <w:footnoteRef/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الناصر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حسن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محمد،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التوصيل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وقراءة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النص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الأدبي،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المكتب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المصري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لتوزيع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المطبوعات،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دط،</w:t>
      </w:r>
      <w:r w:rsidRPr="00265E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1999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م،ص</w:t>
      </w:r>
      <w:r w:rsidRPr="00265E98">
        <w:rPr>
          <w:rFonts w:ascii="Simplified Arabic" w:hAnsi="Simplified Arabic" w:cs="Simplified Arabic"/>
          <w:sz w:val="28"/>
          <w:szCs w:val="28"/>
          <w:rtl/>
          <w:lang w:bidi="ar-DZ"/>
        </w:rPr>
        <w:t>76</w:t>
      </w:r>
      <w:r w:rsidRPr="00265E98">
        <w:rPr>
          <w:rFonts w:ascii="Simplified Arabic" w:hAnsi="Simplified Arabic" w:cs="Simplified Arabic"/>
          <w:sz w:val="28"/>
          <w:szCs w:val="28"/>
          <w:lang w:bidi="ar-DZ"/>
        </w:rPr>
        <w:t>.</w:t>
      </w:r>
      <w:r w:rsidRPr="00265E98">
        <w:rPr>
          <w:rFonts w:ascii="Simplified Arabic" w:hAnsi="Simplified Arabic" w:cs="Simplified Arabic"/>
          <w:sz w:val="24"/>
          <w:szCs w:val="24"/>
          <w:lang w:bidi="ar-DZ"/>
        </w:rPr>
        <w:t>.</w:t>
      </w:r>
    </w:p>
    <w:p w:rsidR="00252B9C" w:rsidRPr="00265E98" w:rsidRDefault="00252B9C" w:rsidP="00252B9C">
      <w:pPr>
        <w:pStyle w:val="Paragraphedeliste"/>
        <w:bidi/>
        <w:spacing w:after="0" w:line="240" w:lineRule="auto"/>
        <w:rPr>
          <w:lang w:bidi="ar-DZ"/>
        </w:rPr>
      </w:pPr>
    </w:p>
  </w:footnote>
  <w:footnote w:id="10">
    <w:p w:rsidR="00252B9C" w:rsidRPr="00265E98" w:rsidRDefault="00252B9C" w:rsidP="00252B9C">
      <w:pPr>
        <w:pStyle w:val="Paragraphedeliste"/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265E98">
        <w:rPr>
          <w:rStyle w:val="Appelnotedebasdep"/>
          <w:sz w:val="24"/>
          <w:szCs w:val="24"/>
        </w:rPr>
        <w:footnoteRef/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روبرت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هولب،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التلقي،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مرجع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سابق،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</w:t>
      </w:r>
      <w:r w:rsidRPr="00265E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71</w:t>
      </w:r>
      <w:r w:rsidRPr="00265E98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</w:footnote>
  <w:footnote w:id="11">
    <w:p w:rsidR="00252B9C" w:rsidRPr="00265E98" w:rsidRDefault="00252B9C" w:rsidP="00252B9C">
      <w:pPr>
        <w:pStyle w:val="Paragraphedeliste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65E98">
        <w:rPr>
          <w:rStyle w:val="Appelnotedebasdep"/>
          <w:sz w:val="24"/>
          <w:szCs w:val="24"/>
        </w:rPr>
        <w:footnoteRef/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ضياء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خضير،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ثنائيات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مقارنة،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العربية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للدراسات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والنشر،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بيروت،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لبنان،ط</w:t>
      </w:r>
      <w:r w:rsidRPr="00265E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265E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2004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م،ص</w:t>
      </w:r>
      <w:r w:rsidRPr="00265E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15</w:t>
      </w:r>
      <w:r w:rsidRPr="00265E98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252B9C" w:rsidRPr="00265E98" w:rsidRDefault="00252B9C" w:rsidP="00252B9C">
      <w:pPr>
        <w:pStyle w:val="Paragraphedeliste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52B9C" w:rsidRPr="00265E98" w:rsidRDefault="00252B9C" w:rsidP="00252B9C">
      <w:pPr>
        <w:pStyle w:val="Paragraphedeliste"/>
        <w:bidi/>
        <w:spacing w:after="0" w:line="240" w:lineRule="auto"/>
        <w:rPr>
          <w:lang w:bidi="ar-DZ"/>
        </w:rPr>
      </w:pPr>
    </w:p>
  </w:footnote>
  <w:footnote w:id="12">
    <w:p w:rsidR="00252B9C" w:rsidRPr="00265E98" w:rsidRDefault="00252B9C" w:rsidP="00252B9C">
      <w:pPr>
        <w:pStyle w:val="Paragraphedeliste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65E98">
        <w:rPr>
          <w:rStyle w:val="Appelnotedebasdep"/>
          <w:sz w:val="24"/>
          <w:szCs w:val="24"/>
        </w:rPr>
        <w:footnoteRef/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حاتم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الصكر،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ترويض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النص،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دراسة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للتحليل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النصي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النقد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المعاصر،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إجراءات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ومنهجيات،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الهيئة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المصرية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للكتاب،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دط،</w:t>
      </w:r>
      <w:r w:rsidRPr="00265E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1998</w:t>
      </w:r>
      <w:r w:rsidRPr="00265E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م،ص</w:t>
      </w:r>
      <w:r w:rsidRPr="00265E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103</w:t>
      </w:r>
      <w:r w:rsidRPr="00265E98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252B9C" w:rsidRPr="00265E98" w:rsidRDefault="00252B9C" w:rsidP="00252B9C">
      <w:pPr>
        <w:pStyle w:val="Paragraphedeliste"/>
        <w:bidi/>
        <w:spacing w:after="0" w:line="240" w:lineRule="auto"/>
        <w:rPr>
          <w:sz w:val="20"/>
          <w:szCs w:val="20"/>
          <w:lang w:bidi="ar-DZ"/>
        </w:rPr>
      </w:pPr>
    </w:p>
  </w:footnote>
  <w:footnote w:id="13">
    <w:p w:rsidR="00252B9C" w:rsidRPr="00AB379E" w:rsidRDefault="00252B9C" w:rsidP="00252B9C">
      <w:pPr>
        <w:pStyle w:val="Paragraphedeliste"/>
        <w:bidi/>
        <w:spacing w:after="0" w:line="240" w:lineRule="auto"/>
        <w:ind w:left="282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65E98">
        <w:rPr>
          <w:rStyle w:val="Appelnotedebasdep"/>
          <w:sz w:val="24"/>
          <w:szCs w:val="24"/>
        </w:rPr>
        <w:footnoteRef/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بشرى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موسى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الصالح،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التلقي،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أصول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وتطبيقات،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المركز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الثقافي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العربي،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الدار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البيضاء،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بيروت،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</w:t>
      </w:r>
      <w:r w:rsidRPr="00AB379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AB379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2001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م،ص</w:t>
      </w:r>
      <w:r w:rsidRPr="00AB379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34</w:t>
      </w:r>
      <w:r w:rsidRPr="00AB379E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252B9C" w:rsidRPr="00AB379E" w:rsidRDefault="00252B9C" w:rsidP="00252B9C">
      <w:pPr>
        <w:pStyle w:val="Paragraphedeliste"/>
        <w:bidi/>
        <w:spacing w:after="0" w:line="240" w:lineRule="auto"/>
        <w:rPr>
          <w:sz w:val="18"/>
          <w:szCs w:val="18"/>
          <w:lang w:bidi="ar-DZ"/>
        </w:rPr>
      </w:pPr>
    </w:p>
  </w:footnote>
  <w:footnote w:id="14">
    <w:p w:rsidR="00252B9C" w:rsidRPr="00AB379E" w:rsidRDefault="00252B9C" w:rsidP="00252B9C">
      <w:pPr>
        <w:pStyle w:val="Paragraphedeliste"/>
        <w:bidi/>
        <w:spacing w:after="0" w:line="240" w:lineRule="auto"/>
        <w:ind w:left="282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65E98">
        <w:rPr>
          <w:rStyle w:val="Appelnotedebasdep"/>
          <w:sz w:val="24"/>
          <w:szCs w:val="24"/>
        </w:rPr>
        <w:footnoteRef/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نبيهة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قارة،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الفلسفة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والتأويل،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دارا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لطليعة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للطباعة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والنشر،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بيروت،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لبنان،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</w:t>
      </w:r>
      <w:r w:rsidRPr="00AB379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AB379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1998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م،ص</w:t>
      </w:r>
      <w:r w:rsidRPr="00AB379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5</w:t>
      </w:r>
      <w:r w:rsidRPr="00AB379E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252B9C" w:rsidRPr="00AB379E" w:rsidRDefault="00252B9C" w:rsidP="00252B9C">
      <w:pPr>
        <w:pStyle w:val="Paragraphedeliste"/>
        <w:bidi/>
        <w:spacing w:after="0" w:line="240" w:lineRule="auto"/>
        <w:ind w:left="282"/>
        <w:rPr>
          <w:sz w:val="16"/>
          <w:szCs w:val="16"/>
          <w:lang w:bidi="ar-DZ"/>
        </w:rPr>
      </w:pPr>
    </w:p>
  </w:footnote>
  <w:footnote w:id="15">
    <w:p w:rsidR="00252B9C" w:rsidRPr="00AB379E" w:rsidRDefault="00252B9C" w:rsidP="00252B9C">
      <w:pPr>
        <w:pStyle w:val="Paragraphedeliste"/>
        <w:bidi/>
        <w:spacing w:after="0" w:line="240" w:lineRule="auto"/>
        <w:ind w:left="140"/>
        <w:rPr>
          <w:sz w:val="16"/>
          <w:szCs w:val="16"/>
          <w:lang w:bidi="ar-DZ"/>
        </w:rPr>
      </w:pPr>
      <w:r w:rsidRPr="00265E98">
        <w:rPr>
          <w:rStyle w:val="Appelnotedebasdep"/>
          <w:sz w:val="24"/>
          <w:szCs w:val="24"/>
        </w:rPr>
        <w:footnoteRef/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ابن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منظور،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لسان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العرب،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صادر،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بيروت،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لبنان،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</w:t>
      </w:r>
      <w:r w:rsidRPr="00AB379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3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،مج</w:t>
      </w:r>
      <w:r w:rsidRPr="00AB379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11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،مادةأول،</w:t>
      </w:r>
      <w:r w:rsidRPr="00AB379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1994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م،ص</w:t>
      </w:r>
      <w:r w:rsidRPr="00AB379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33</w:t>
      </w:r>
    </w:p>
  </w:footnote>
  <w:footnote w:id="16">
    <w:p w:rsidR="00252B9C" w:rsidRPr="00AB379E" w:rsidRDefault="00252B9C" w:rsidP="00252B9C">
      <w:pPr>
        <w:pStyle w:val="Paragraphedeliste"/>
        <w:bidi/>
        <w:spacing w:after="0" w:line="240" w:lineRule="auto"/>
        <w:ind w:left="14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65E98">
        <w:rPr>
          <w:rStyle w:val="Appelnotedebasdep"/>
          <w:sz w:val="24"/>
          <w:szCs w:val="24"/>
        </w:rPr>
        <w:footnoteRef/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نصر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حامد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أبو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زيد،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إشكاليات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القراءة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وآليات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التأويل،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المركز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الثقافي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العربي،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المغرب،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</w:t>
      </w:r>
      <w:r w:rsidRPr="00AB379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5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AB379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2005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م،ص</w:t>
      </w:r>
      <w:r w:rsidRPr="00AB379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</w:t>
      </w:r>
      <w:r w:rsidRPr="00AB379E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252B9C" w:rsidRPr="00AB379E" w:rsidRDefault="00252B9C" w:rsidP="00252B9C">
      <w:pPr>
        <w:pStyle w:val="Paragraphedeliste"/>
        <w:bidi/>
        <w:spacing w:after="0" w:line="240" w:lineRule="auto"/>
        <w:ind w:left="140"/>
        <w:rPr>
          <w:sz w:val="16"/>
          <w:szCs w:val="16"/>
          <w:lang w:bidi="ar-DZ"/>
        </w:rPr>
      </w:pPr>
    </w:p>
  </w:footnote>
  <w:footnote w:id="17">
    <w:p w:rsidR="00252B9C" w:rsidRPr="00AB379E" w:rsidRDefault="00252B9C" w:rsidP="00252B9C">
      <w:pPr>
        <w:pStyle w:val="Paragraphedeliste"/>
        <w:bidi/>
        <w:spacing w:after="0" w:line="240" w:lineRule="auto"/>
        <w:ind w:hanging="438"/>
        <w:rPr>
          <w:rFonts w:ascii="Simplified Arabic" w:hAnsi="Simplified Arabic" w:cs="Simplified Arabic"/>
          <w:sz w:val="32"/>
          <w:szCs w:val="32"/>
          <w:lang w:bidi="ar-DZ"/>
        </w:rPr>
      </w:pPr>
      <w:r w:rsidRPr="00265E98">
        <w:rPr>
          <w:rStyle w:val="Appelnotedebasdep"/>
          <w:sz w:val="24"/>
          <w:szCs w:val="24"/>
        </w:rPr>
        <w:footnoteRef/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نبيهة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قارة،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الفلسفة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والتأويل،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مرجع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سابق،</w:t>
      </w:r>
      <w:r w:rsidRPr="00AB37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</w:t>
      </w:r>
      <w:r w:rsidRPr="00AB379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44</w:t>
      </w:r>
      <w:r w:rsidRPr="004E3D17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</w:footnote>
  <w:footnote w:id="18">
    <w:p w:rsidR="00252B9C" w:rsidRPr="004E3D17" w:rsidRDefault="00252B9C" w:rsidP="00252B9C">
      <w:pPr>
        <w:pStyle w:val="Paragraphedeliste"/>
        <w:bidi/>
        <w:spacing w:after="0" w:line="240" w:lineRule="auto"/>
        <w:ind w:left="424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65E98">
        <w:rPr>
          <w:rStyle w:val="Appelnotedebasdep"/>
          <w:sz w:val="24"/>
          <w:szCs w:val="24"/>
        </w:rPr>
        <w:footnoteRef/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عبدالكريم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شرفي،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فلسفات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التأويل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نظريات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القراءة،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مرجع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E3D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سابق،ص</w:t>
      </w:r>
      <w:r w:rsidRPr="00AB379E">
        <w:rPr>
          <w:rFonts w:ascii="Simplified Arabic" w:hAnsi="Simplified Arabic" w:cs="Simplified Arabic"/>
          <w:sz w:val="28"/>
          <w:szCs w:val="28"/>
          <w:rtl/>
          <w:lang w:bidi="ar-DZ"/>
        </w:rPr>
        <w:t>26</w:t>
      </w:r>
      <w:r w:rsidRPr="004E3D17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252B9C" w:rsidRPr="00AB379E" w:rsidRDefault="00252B9C" w:rsidP="00252B9C">
      <w:pPr>
        <w:pStyle w:val="Paragraphedeliste"/>
        <w:bidi/>
        <w:spacing w:after="0" w:line="240" w:lineRule="auto"/>
        <w:ind w:left="424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B379E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252B9C" w:rsidRPr="00AB379E" w:rsidRDefault="00252B9C" w:rsidP="00252B9C">
      <w:pPr>
        <w:pStyle w:val="Paragraphedeliste"/>
        <w:bidi/>
        <w:spacing w:after="0" w:line="240" w:lineRule="auto"/>
        <w:rPr>
          <w:sz w:val="16"/>
          <w:szCs w:val="16"/>
          <w:lang w:bidi="ar-DZ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5F2"/>
    <w:multiLevelType w:val="hybridMultilevel"/>
    <w:tmpl w:val="FE3C06A6"/>
    <w:lvl w:ilvl="0" w:tplc="DFD6AED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E7C92"/>
    <w:multiLevelType w:val="hybridMultilevel"/>
    <w:tmpl w:val="4CC0EEDA"/>
    <w:lvl w:ilvl="0" w:tplc="96582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116AA"/>
    <w:multiLevelType w:val="hybridMultilevel"/>
    <w:tmpl w:val="456808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23AAF"/>
    <w:multiLevelType w:val="hybridMultilevel"/>
    <w:tmpl w:val="991EBD42"/>
    <w:lvl w:ilvl="0" w:tplc="AC7481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301E8"/>
    <w:multiLevelType w:val="hybridMultilevel"/>
    <w:tmpl w:val="B55E8AC6"/>
    <w:lvl w:ilvl="0" w:tplc="22F2E6A0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94013"/>
    <w:multiLevelType w:val="hybridMultilevel"/>
    <w:tmpl w:val="D910CC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38DE"/>
    <w:multiLevelType w:val="hybridMultilevel"/>
    <w:tmpl w:val="5100C008"/>
    <w:lvl w:ilvl="0" w:tplc="08CCE87A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7337E"/>
    <w:multiLevelType w:val="hybridMultilevel"/>
    <w:tmpl w:val="D74AEFF2"/>
    <w:lvl w:ilvl="0" w:tplc="9C3675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10E"/>
    <w:multiLevelType w:val="hybridMultilevel"/>
    <w:tmpl w:val="50F6670A"/>
    <w:lvl w:ilvl="0" w:tplc="D20CB6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5C5D23"/>
    <w:multiLevelType w:val="hybridMultilevel"/>
    <w:tmpl w:val="E418EAEC"/>
    <w:lvl w:ilvl="0" w:tplc="3F38C8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97B90"/>
    <w:multiLevelType w:val="hybridMultilevel"/>
    <w:tmpl w:val="D840D106"/>
    <w:lvl w:ilvl="0" w:tplc="D196DE3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1771E"/>
    <w:multiLevelType w:val="hybridMultilevel"/>
    <w:tmpl w:val="01F2F6D8"/>
    <w:lvl w:ilvl="0" w:tplc="DFD6AED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97BFF"/>
    <w:multiLevelType w:val="hybridMultilevel"/>
    <w:tmpl w:val="4CC0EEDA"/>
    <w:lvl w:ilvl="0" w:tplc="96582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C7C41"/>
    <w:multiLevelType w:val="hybridMultilevel"/>
    <w:tmpl w:val="9788E060"/>
    <w:lvl w:ilvl="0" w:tplc="96582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B3D9F"/>
    <w:multiLevelType w:val="hybridMultilevel"/>
    <w:tmpl w:val="D486B518"/>
    <w:lvl w:ilvl="0" w:tplc="DFD6AED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67EBE"/>
    <w:multiLevelType w:val="hybridMultilevel"/>
    <w:tmpl w:val="B0205C94"/>
    <w:lvl w:ilvl="0" w:tplc="D196D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52866"/>
    <w:multiLevelType w:val="hybridMultilevel"/>
    <w:tmpl w:val="28A0F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21A2E"/>
    <w:multiLevelType w:val="hybridMultilevel"/>
    <w:tmpl w:val="0DD890C4"/>
    <w:lvl w:ilvl="0" w:tplc="22F2E6A0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4E4061"/>
    <w:multiLevelType w:val="hybridMultilevel"/>
    <w:tmpl w:val="55B2FA22"/>
    <w:lvl w:ilvl="0" w:tplc="D196DE3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85404"/>
    <w:multiLevelType w:val="hybridMultilevel"/>
    <w:tmpl w:val="03D20A68"/>
    <w:lvl w:ilvl="0" w:tplc="A5229BDE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F7432"/>
    <w:multiLevelType w:val="hybridMultilevel"/>
    <w:tmpl w:val="D230009C"/>
    <w:lvl w:ilvl="0" w:tplc="D20CB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51454"/>
    <w:multiLevelType w:val="hybridMultilevel"/>
    <w:tmpl w:val="2A6270EC"/>
    <w:lvl w:ilvl="0" w:tplc="D196D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91BF6"/>
    <w:multiLevelType w:val="multilevel"/>
    <w:tmpl w:val="C1EAD9A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3">
    <w:nsid w:val="615C5648"/>
    <w:multiLevelType w:val="hybridMultilevel"/>
    <w:tmpl w:val="A096087E"/>
    <w:lvl w:ilvl="0" w:tplc="DFD6AED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4F6829"/>
    <w:multiLevelType w:val="hybridMultilevel"/>
    <w:tmpl w:val="1786BA42"/>
    <w:lvl w:ilvl="0" w:tplc="20FE1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8"/>
  </w:num>
  <w:num w:numId="4">
    <w:abstractNumId w:val="20"/>
  </w:num>
  <w:num w:numId="5">
    <w:abstractNumId w:val="8"/>
  </w:num>
  <w:num w:numId="6">
    <w:abstractNumId w:val="3"/>
  </w:num>
  <w:num w:numId="7">
    <w:abstractNumId w:val="10"/>
  </w:num>
  <w:num w:numId="8">
    <w:abstractNumId w:val="21"/>
  </w:num>
  <w:num w:numId="9">
    <w:abstractNumId w:val="14"/>
  </w:num>
  <w:num w:numId="10">
    <w:abstractNumId w:val="19"/>
  </w:num>
  <w:num w:numId="11">
    <w:abstractNumId w:val="22"/>
  </w:num>
  <w:num w:numId="12">
    <w:abstractNumId w:val="17"/>
  </w:num>
  <w:num w:numId="13">
    <w:abstractNumId w:val="15"/>
  </w:num>
  <w:num w:numId="14">
    <w:abstractNumId w:val="7"/>
  </w:num>
  <w:num w:numId="15">
    <w:abstractNumId w:val="9"/>
  </w:num>
  <w:num w:numId="16">
    <w:abstractNumId w:val="6"/>
  </w:num>
  <w:num w:numId="17">
    <w:abstractNumId w:val="24"/>
  </w:num>
  <w:num w:numId="18">
    <w:abstractNumId w:val="12"/>
  </w:num>
  <w:num w:numId="19">
    <w:abstractNumId w:val="13"/>
  </w:num>
  <w:num w:numId="20">
    <w:abstractNumId w:val="0"/>
  </w:num>
  <w:num w:numId="21">
    <w:abstractNumId w:val="16"/>
  </w:num>
  <w:num w:numId="22">
    <w:abstractNumId w:val="23"/>
  </w:num>
  <w:num w:numId="23">
    <w:abstractNumId w:val="11"/>
  </w:num>
  <w:num w:numId="24">
    <w:abstractNumId w:val="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9C"/>
    <w:rsid w:val="00086EAE"/>
    <w:rsid w:val="001570D9"/>
    <w:rsid w:val="00252B9C"/>
    <w:rsid w:val="0037026C"/>
    <w:rsid w:val="00530D1C"/>
    <w:rsid w:val="006E7989"/>
    <w:rsid w:val="00BC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B3190-B1F7-4F92-824B-BC1AB821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B9C"/>
    <w:pPr>
      <w:spacing w:after="200" w:line="276" w:lineRule="auto"/>
    </w:pPr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52B9C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raditional Arabic"/>
      <w:sz w:val="36"/>
      <w:szCs w:val="36"/>
      <w:lang w:val="en-US" w:eastAsia="ar-SA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2B9C"/>
    <w:rPr>
      <w:rFonts w:ascii="Times New Roman" w:eastAsia="Times New Roman" w:hAnsi="Times New Roman" w:cs="Traditional Arabic"/>
      <w:sz w:val="36"/>
      <w:szCs w:val="36"/>
      <w:lang w:val="en-US" w:eastAsia="ar-SA" w:bidi="ar-DZ"/>
    </w:rPr>
  </w:style>
  <w:style w:type="paragraph" w:styleId="En-tte">
    <w:name w:val="header"/>
    <w:basedOn w:val="Normal"/>
    <w:link w:val="En-tteCar"/>
    <w:uiPriority w:val="99"/>
    <w:unhideWhenUsed/>
    <w:rsid w:val="00252B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2B9C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252B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2B9C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2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B9C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52B9C"/>
    <w:pPr>
      <w:ind w:left="720"/>
      <w:contextualSpacing/>
    </w:pPr>
  </w:style>
  <w:style w:type="table" w:styleId="Grilledutableau">
    <w:name w:val="Table Grid"/>
    <w:basedOn w:val="TableauNormal"/>
    <w:uiPriority w:val="39"/>
    <w:rsid w:val="00252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252B9C"/>
    <w:pPr>
      <w:widowControl w:val="0"/>
      <w:suppressAutoHyphens/>
      <w:autoSpaceDN w:val="0"/>
      <w:spacing w:after="0" w:line="240" w:lineRule="auto"/>
      <w:jc w:val="right"/>
      <w:textAlignment w:val="baseline"/>
    </w:pPr>
    <w:rPr>
      <w:rFonts w:ascii="Times New Roman" w:eastAsia="SimSun" w:hAnsi="Times New Roman" w:cs="Tahoma"/>
      <w:kern w:val="3"/>
      <w:sz w:val="24"/>
      <w:szCs w:val="24"/>
      <w:lang w:val="de-DE" w:eastAsia="zh-CN"/>
    </w:rPr>
  </w:style>
  <w:style w:type="character" w:styleId="Lienhypertexte">
    <w:name w:val="Hyperlink"/>
    <w:basedOn w:val="Policepardfaut"/>
    <w:uiPriority w:val="99"/>
    <w:unhideWhenUsed/>
    <w:rsid w:val="00252B9C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252B9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52B9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52B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2036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MADJID MAHBOUB</dc:creator>
  <cp:keywords/>
  <dc:description/>
  <cp:lastModifiedBy>MADJID MAHBOUB</cp:lastModifiedBy>
  <cp:revision>4</cp:revision>
  <dcterms:created xsi:type="dcterms:W3CDTF">2021-05-23T19:27:00Z</dcterms:created>
  <dcterms:modified xsi:type="dcterms:W3CDTF">2022-01-07T15:40:00Z</dcterms:modified>
</cp:coreProperties>
</file>