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09" w:rsidRDefault="00FB0E09" w:rsidP="00FB0E09">
      <w:pPr>
        <w:bidi/>
        <w:spacing w:after="0"/>
        <w:jc w:val="center"/>
        <w:rPr>
          <w:rFonts w:ascii="Traditional Arabic" w:hAnsi="Traditional Arabic" w:cs="Traditional Arabic"/>
          <w:b/>
          <w:bCs/>
          <w:sz w:val="28"/>
          <w:szCs w:val="28"/>
          <w:lang w:bidi="ar-DZ"/>
        </w:rPr>
      </w:pPr>
      <w:r w:rsidRPr="00C00C32">
        <w:rPr>
          <w:rFonts w:ascii="Traditional Arabic" w:hAnsi="Traditional Arabic" w:cs="Traditional Arabic"/>
          <w:b/>
          <w:bCs/>
          <w:sz w:val="28"/>
          <w:szCs w:val="28"/>
          <w:rtl/>
          <w:lang w:bidi="ar-DZ"/>
        </w:rPr>
        <w:t>كلية العلوم الإقتصادية والتجارية وعلوم التسي</w:t>
      </w:r>
      <w:r>
        <w:rPr>
          <w:rFonts w:ascii="Traditional Arabic" w:hAnsi="Traditional Arabic" w:cs="Traditional Arabic"/>
          <w:b/>
          <w:bCs/>
          <w:sz w:val="28"/>
          <w:szCs w:val="28"/>
          <w:rtl/>
          <w:lang w:bidi="ar-DZ"/>
        </w:rPr>
        <w:t>ير</w:t>
      </w:r>
    </w:p>
    <w:p w:rsidR="00FB0E09" w:rsidRPr="00C00C32" w:rsidRDefault="00FB0E09" w:rsidP="00FB0E09">
      <w:pPr>
        <w:bidi/>
        <w:spacing w:after="0"/>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السنة ال</w:t>
      </w:r>
      <w:r>
        <w:rPr>
          <w:rFonts w:ascii="Traditional Arabic" w:hAnsi="Traditional Arabic" w:cs="Traditional Arabic" w:hint="cs"/>
          <w:b/>
          <w:bCs/>
          <w:sz w:val="28"/>
          <w:szCs w:val="28"/>
          <w:rtl/>
          <w:lang w:bidi="ar-DZ"/>
        </w:rPr>
        <w:t xml:space="preserve">ثانية ماستر تخصص محاسبة                                      </w:t>
      </w:r>
      <w:r>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 xml:space="preserve"> السنة الجامعية:2021-2022</w:t>
      </w:r>
    </w:p>
    <w:p w:rsidR="00FB0E09" w:rsidRDefault="00FB0E09" w:rsidP="00FB0E09">
      <w:pPr>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قسم: العلوم ال</w:t>
      </w:r>
      <w:r>
        <w:rPr>
          <w:rFonts w:ascii="Traditional Arabic" w:hAnsi="Traditional Arabic" w:cs="Traditional Arabic" w:hint="cs"/>
          <w:b/>
          <w:bCs/>
          <w:sz w:val="28"/>
          <w:szCs w:val="28"/>
          <w:rtl/>
          <w:lang w:bidi="ar-DZ"/>
        </w:rPr>
        <w:t>مالية والمحاسبة</w:t>
      </w:r>
      <w:r w:rsidRPr="00C00C32">
        <w:rPr>
          <w:rFonts w:ascii="Traditional Arabic" w:hAnsi="Traditional Arabic" w:cs="Traditional Arabic"/>
          <w:b/>
          <w:bCs/>
          <w:sz w:val="28"/>
          <w:szCs w:val="28"/>
          <w:rtl/>
          <w:lang w:bidi="ar-DZ"/>
        </w:rPr>
        <w:t xml:space="preserve">                                 </w:t>
      </w:r>
      <w:r>
        <w:rPr>
          <w:rFonts w:ascii="Traditional Arabic" w:hAnsi="Traditional Arabic" w:cs="Traditional Arabic"/>
          <w:b/>
          <w:bCs/>
          <w:sz w:val="28"/>
          <w:szCs w:val="28"/>
          <w:rtl/>
          <w:lang w:bidi="ar-DZ"/>
        </w:rPr>
        <w:t xml:space="preserve">           مقياس: </w:t>
      </w:r>
      <w:r>
        <w:rPr>
          <w:rFonts w:ascii="Traditional Arabic" w:hAnsi="Traditional Arabic" w:cs="Traditional Arabic" w:hint="cs"/>
          <w:b/>
          <w:bCs/>
          <w:sz w:val="28"/>
          <w:szCs w:val="28"/>
          <w:rtl/>
          <w:lang w:bidi="ar-DZ"/>
        </w:rPr>
        <w:t>ندوة في المحاسبة</w:t>
      </w:r>
    </w:p>
    <w:p w:rsidR="00FB0E09" w:rsidRDefault="00FB0E09" w:rsidP="00FB0E09">
      <w:pPr>
        <w:bidi/>
        <w:rPr>
          <w:rFonts w:ascii="Traditional Arabic" w:hAnsi="Traditional Arabic" w:cs="Traditional Arabic"/>
          <w:b/>
          <w:bCs/>
          <w:sz w:val="28"/>
          <w:szCs w:val="28"/>
          <w:rtl/>
          <w:lang w:bidi="ar-DZ"/>
        </w:rPr>
      </w:pPr>
    </w:p>
    <w:p w:rsidR="00FB0E09" w:rsidRPr="00A93251" w:rsidRDefault="00FB0E09" w:rsidP="00FB0E09">
      <w:pPr>
        <w:bidi/>
        <w:jc w:val="center"/>
        <w:rPr>
          <w:rFonts w:ascii="Traditional Arabic" w:hAnsi="Traditional Arabic" w:cs="Traditional Arabic"/>
          <w:b/>
          <w:bCs/>
          <w:sz w:val="32"/>
          <w:szCs w:val="32"/>
          <w:rtl/>
          <w:lang w:bidi="ar-DZ"/>
        </w:rPr>
      </w:pPr>
      <w:r w:rsidRPr="00A93251">
        <w:rPr>
          <w:rFonts w:ascii="Traditional Arabic" w:hAnsi="Traditional Arabic" w:cs="Traditional Arabic" w:hint="cs"/>
          <w:b/>
          <w:bCs/>
          <w:sz w:val="32"/>
          <w:szCs w:val="32"/>
          <w:rtl/>
          <w:lang w:bidi="ar-DZ"/>
        </w:rPr>
        <w:t xml:space="preserve">عنوان المحاضرة: المعالجة الجبائية للأعباء </w:t>
      </w:r>
    </w:p>
    <w:p w:rsidR="00FB0E09" w:rsidRDefault="00FB0E09" w:rsidP="00FB0E09">
      <w:pPr>
        <w:bidi/>
        <w:rPr>
          <w:rFonts w:ascii="Traditional Arabic" w:hAnsi="Traditional Arabic" w:cs="Traditional Arabic"/>
          <w:b/>
          <w:bCs/>
          <w:sz w:val="28"/>
          <w:szCs w:val="28"/>
          <w:rtl/>
          <w:lang w:bidi="ar-DZ"/>
        </w:rPr>
      </w:pPr>
    </w:p>
    <w:p w:rsidR="00FB0E09" w:rsidRPr="000426A6" w:rsidRDefault="00FB0E09" w:rsidP="00FB0E09">
      <w:pPr>
        <w:bidi/>
        <w:spacing w:after="0"/>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أولا: </w:t>
      </w:r>
      <w:r w:rsidRPr="000426A6">
        <w:rPr>
          <w:rFonts w:ascii="Traditional Arabic" w:hAnsi="Traditional Arabic" w:cs="Traditional Arabic" w:hint="cs"/>
          <w:b/>
          <w:bCs/>
          <w:sz w:val="28"/>
          <w:szCs w:val="28"/>
          <w:rtl/>
          <w:lang w:bidi="ar-DZ"/>
        </w:rPr>
        <w:t>المعالجة الجبائية للأعباء</w:t>
      </w:r>
    </w:p>
    <w:p w:rsidR="00FB0E09" w:rsidRPr="000426A6" w:rsidRDefault="00FB0E09" w:rsidP="00FB0E09">
      <w:pPr>
        <w:bidi/>
        <w:spacing w:after="0"/>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w:t>
      </w:r>
      <w:r w:rsidRPr="000426A6">
        <w:rPr>
          <w:rFonts w:ascii="Traditional Arabic" w:hAnsi="Traditional Arabic" w:cs="Traditional Arabic" w:hint="cs"/>
          <w:b/>
          <w:bCs/>
          <w:sz w:val="28"/>
          <w:szCs w:val="28"/>
          <w:rtl/>
          <w:lang w:bidi="ar-DZ"/>
        </w:rPr>
        <w:t>شروط خصم الأعباء:</w:t>
      </w:r>
    </w:p>
    <w:p w:rsidR="00FB0E09" w:rsidRDefault="00FB0E09" w:rsidP="00FB0E09">
      <w:pPr>
        <w:bidi/>
        <w:spacing w:after="0"/>
        <w:rPr>
          <w:rFonts w:ascii="Traditional Arabic" w:hAnsi="Traditional Arabic" w:cs="Traditional Arabic"/>
          <w:sz w:val="28"/>
          <w:szCs w:val="28"/>
          <w:rtl/>
          <w:lang w:bidi="ar-DZ"/>
        </w:rPr>
        <w:sectPr w:rsidR="00FB0E09" w:rsidSect="006456E2">
          <w:headerReference w:type="default" r:id="rId7"/>
          <w:endnotePr>
            <w:numFmt w:val="decimal"/>
          </w:endnotePr>
          <w:pgSz w:w="11906" w:h="16838"/>
          <w:pgMar w:top="1417" w:right="1417" w:bottom="1417" w:left="1417" w:header="708" w:footer="708" w:gutter="0"/>
          <w:cols w:space="708"/>
          <w:docGrid w:linePitch="360"/>
        </w:sectPr>
      </w:pPr>
    </w:p>
    <w:p w:rsidR="00FB0E09" w:rsidRDefault="00FB0E09" w:rsidP="00FB0E09">
      <w:pPr>
        <w:bidi/>
        <w:spacing w:after="0"/>
        <w:rPr>
          <w:rFonts w:ascii="Traditional Arabic" w:hAnsi="Traditional Arabic" w:cs="Traditional Arabic"/>
          <w:sz w:val="28"/>
          <w:szCs w:val="28"/>
          <w:rtl/>
          <w:lang w:bidi="ar-DZ"/>
        </w:rPr>
        <w:sectPr w:rsidR="00FB0E09" w:rsidSect="000426A6">
          <w:endnotePr>
            <w:numFmt w:val="decimal"/>
          </w:endnotePr>
          <w:type w:val="continuous"/>
          <w:pgSz w:w="11906" w:h="16838"/>
          <w:pgMar w:top="1417" w:right="1417" w:bottom="1417" w:left="1417" w:header="708" w:footer="708" w:gutter="0"/>
          <w:cols w:space="708"/>
          <w:docGrid w:linePitch="360"/>
        </w:sectPr>
      </w:pPr>
      <w:r>
        <w:rPr>
          <w:rFonts w:ascii="Traditional Arabic" w:hAnsi="Traditional Arabic" w:cs="Traditional Arabic" w:hint="cs"/>
          <w:sz w:val="28"/>
          <w:szCs w:val="28"/>
          <w:rtl/>
          <w:lang w:bidi="ar-DZ"/>
        </w:rPr>
        <w:lastRenderedPageBreak/>
        <w:t>تكون الأعباء قابلة للخصم إذا تحقق مايلي:</w:t>
      </w:r>
      <w:r>
        <w:rPr>
          <w:rFonts w:ascii="Traditional Arabic" w:hAnsi="Traditional Arabic" w:cs="Traditional Arabic"/>
          <w:sz w:val="28"/>
          <w:szCs w:val="28"/>
          <w:rtl/>
          <w:lang w:bidi="ar-DZ"/>
        </w:rPr>
        <w:t xml:space="preserve"> </w:t>
      </w:r>
    </w:p>
    <w:p w:rsidR="00FB0E09" w:rsidRPr="00E57D70" w:rsidRDefault="00FB0E09" w:rsidP="00FB0E09">
      <w:pPr>
        <w:pStyle w:val="Paragraphedeliste"/>
        <w:numPr>
          <w:ilvl w:val="0"/>
          <w:numId w:val="1"/>
        </w:numPr>
        <w:spacing w:after="0"/>
        <w:rPr>
          <w:rFonts w:ascii="Traditional Arabic" w:hAnsi="Traditional Arabic" w:cs="Traditional Arabic"/>
          <w:sz w:val="28"/>
          <w:szCs w:val="28"/>
          <w:rtl/>
          <w:lang w:bidi="ar-DZ"/>
        </w:rPr>
      </w:pPr>
      <w:r w:rsidRPr="00E57D70">
        <w:rPr>
          <w:rFonts w:ascii="Traditional Arabic" w:hAnsi="Traditional Arabic" w:cs="Traditional Arabic" w:hint="cs"/>
          <w:sz w:val="28"/>
          <w:szCs w:val="28"/>
          <w:rtl/>
          <w:lang w:bidi="ar-DZ"/>
        </w:rPr>
        <w:lastRenderedPageBreak/>
        <w:t xml:space="preserve">إذا كانت فعليا داخلة ضمن النشاط الاستغلالي للمؤسسة </w:t>
      </w:r>
    </w:p>
    <w:p w:rsidR="00FB0E09" w:rsidRPr="00E57D70" w:rsidRDefault="00FB0E09" w:rsidP="00FB0E09">
      <w:pPr>
        <w:pStyle w:val="Paragraphedeliste"/>
        <w:numPr>
          <w:ilvl w:val="0"/>
          <w:numId w:val="1"/>
        </w:numPr>
        <w:spacing w:after="0"/>
        <w:rPr>
          <w:rFonts w:ascii="Traditional Arabic" w:hAnsi="Traditional Arabic" w:cs="Traditional Arabic"/>
          <w:sz w:val="28"/>
          <w:szCs w:val="28"/>
          <w:rtl/>
          <w:lang w:bidi="ar-DZ"/>
        </w:rPr>
      </w:pPr>
      <w:r w:rsidRPr="00E57D70">
        <w:rPr>
          <w:rFonts w:ascii="Traditional Arabic" w:hAnsi="Traditional Arabic" w:cs="Traditional Arabic" w:hint="cs"/>
          <w:sz w:val="28"/>
          <w:szCs w:val="28"/>
          <w:rtl/>
          <w:lang w:bidi="ar-DZ"/>
        </w:rPr>
        <w:t>يجب أن تكون مبررة بالوثائق والمستندات الثبوتية</w:t>
      </w: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وسيتم في هذا العنصر تناول الأعباء القابلة للخصم من خلال التعرف على المعالجة الجبائية للأعباء العامة والاهتلاكات والمؤونات</w:t>
      </w:r>
    </w:p>
    <w:p w:rsidR="00FB0E09" w:rsidRPr="00A93251" w:rsidRDefault="00FB0E09" w:rsidP="00FB0E09">
      <w:pPr>
        <w:bidi/>
        <w:spacing w:after="0"/>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2</w:t>
      </w:r>
      <w:r w:rsidRPr="00A93251">
        <w:rPr>
          <w:rFonts w:ascii="Traditional Arabic" w:hAnsi="Traditional Arabic" w:cs="Traditional Arabic" w:hint="cs"/>
          <w:b/>
          <w:bCs/>
          <w:sz w:val="28"/>
          <w:szCs w:val="28"/>
          <w:rtl/>
          <w:lang w:bidi="ar-DZ"/>
        </w:rPr>
        <w:t xml:space="preserve">-المعالجة الجبائية للأعباء العامة </w:t>
      </w:r>
    </w:p>
    <w:p w:rsidR="00FB0E09" w:rsidRPr="00BA7D19" w:rsidRDefault="00FB0E09" w:rsidP="00FB0E09">
      <w:pPr>
        <w:bidi/>
        <w:spacing w:after="0"/>
        <w:rPr>
          <w:rFonts w:ascii="Traditional Arabic" w:hAnsi="Traditional Arabic" w:cs="Traditional Arabic"/>
          <w:b/>
          <w:bCs/>
          <w:sz w:val="28"/>
          <w:szCs w:val="28"/>
          <w:rtl/>
          <w:lang w:bidi="ar-DZ"/>
        </w:rPr>
      </w:pPr>
      <w:r w:rsidRPr="00BA7D19">
        <w:rPr>
          <w:rFonts w:ascii="Traditional Arabic" w:hAnsi="Traditional Arabic" w:cs="Traditional Arabic" w:hint="cs"/>
          <w:b/>
          <w:bCs/>
          <w:sz w:val="28"/>
          <w:szCs w:val="28"/>
          <w:rtl/>
          <w:lang w:bidi="ar-DZ"/>
        </w:rPr>
        <w:t>المعالجة الجبائية لأعباء السلع والخدمات:</w:t>
      </w:r>
    </w:p>
    <w:p w:rsidR="00FB0E09" w:rsidRDefault="00FB0E09" w:rsidP="00FB0E09">
      <w:pPr>
        <w:bidi/>
        <w:spacing w:after="0"/>
        <w:rPr>
          <w:rFonts w:ascii="Traditional Arabic" w:hAnsi="Traditional Arabic" w:cs="Traditional Arabic"/>
          <w:sz w:val="28"/>
          <w:szCs w:val="28"/>
          <w:rtl/>
          <w:lang w:bidi="ar-DZ"/>
        </w:rPr>
        <w:sectPr w:rsidR="00FB0E09" w:rsidSect="000426A6">
          <w:type w:val="continuous"/>
          <w:pgSz w:w="11906" w:h="16838"/>
          <w:pgMar w:top="1417" w:right="1417" w:bottom="1417" w:left="1417" w:header="708" w:footer="708" w:gutter="0"/>
          <w:cols w:space="708"/>
          <w:docGrid w:linePitch="360"/>
        </w:sectPr>
      </w:pP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تعتبر هذه الأعباء قابلة للخصم ويجب أن تقيد مشتريات البضائع والمواد في المحاسبة بتكلفة الشراء خارج الرسم على القيمة المضافة زائد المصاريف الملحقة، أما فيما يخص تقييم المخزونات فيمكن للمؤسسة استعمال أحد الطرق المتبعة في هذا المجال لإعداد الجرد الدائم أو الدوري لها</w:t>
      </w:r>
    </w:p>
    <w:p w:rsidR="00FB0E09" w:rsidRPr="00C93CB2" w:rsidRDefault="00FB0E09" w:rsidP="00FB0E09">
      <w:pPr>
        <w:bidi/>
        <w:spacing w:after="0"/>
        <w:rPr>
          <w:rFonts w:ascii="Traditional Arabic" w:hAnsi="Traditional Arabic" w:cs="Traditional Arabic"/>
          <w:b/>
          <w:bCs/>
          <w:sz w:val="28"/>
          <w:szCs w:val="28"/>
          <w:rtl/>
          <w:lang w:bidi="ar-DZ"/>
        </w:rPr>
      </w:pPr>
      <w:r w:rsidRPr="00C93CB2">
        <w:rPr>
          <w:rFonts w:ascii="Traditional Arabic" w:hAnsi="Traditional Arabic" w:cs="Traditional Arabic" w:hint="cs"/>
          <w:b/>
          <w:bCs/>
          <w:sz w:val="28"/>
          <w:szCs w:val="28"/>
          <w:rtl/>
          <w:lang w:bidi="ar-DZ"/>
        </w:rPr>
        <w:t>المعالجة الجبائية لأعباء الخدمات:</w:t>
      </w: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مصاريف الإيجار والمصاريف المتعلقة به: قابل للخصم قيمة الإيجار المدفوع فعلا للمكان الذي تستغله المؤسسة إذا كان العقار ملكا للغير بشرط أن لا يكون العقار موجها للاستخدام الشخصي جزئيا أو كليا، حيث لا يدخل ضمن أعباء المؤسسة واجبة الخصم</w:t>
      </w: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مصاريف الصيانة والإصلاح:  تكون قابلة للخصم إذا كانت مخصصة لصيانة عناصر الأصول للحفاظ عليها دون أن ينتج عن هذه الصيانة فائض قيمة(أي أن تكون سببا في تمديد مدة استعمالها القانونية)</w:t>
      </w: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أعباء الاشتراك في الدورات العلمية: تعتبر هذه المصاريف قابلة للخصم إذا كانت بالوثائق المبررة لها بشرط أن لا تتعدى 10</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من رقم الأعمال في حدود 100 مليون دينار جزائري</w:t>
      </w:r>
    </w:p>
    <w:p w:rsidR="00FB0E09" w:rsidRPr="000808F9" w:rsidRDefault="00FB0E09" w:rsidP="00FB0E09">
      <w:pPr>
        <w:bidi/>
        <w:spacing w:after="0"/>
        <w:rPr>
          <w:rFonts w:ascii="Traditional Arabic" w:hAnsi="Traditional Arabic" w:cs="Traditional Arabic"/>
          <w:sz w:val="28"/>
          <w:szCs w:val="28"/>
          <w:rtl/>
          <w:lang w:bidi="ar-DZ"/>
        </w:rPr>
        <w:sectPr w:rsidR="00FB0E09" w:rsidRPr="000808F9" w:rsidSect="000426A6">
          <w:endnotePr>
            <w:numFmt w:val="decimal"/>
          </w:endnotePr>
          <w:type w:val="continuous"/>
          <w:pgSz w:w="11906" w:h="16838"/>
          <w:pgMar w:top="1417" w:right="1417" w:bottom="1417" w:left="1417" w:header="708" w:footer="708" w:gutter="0"/>
          <w:cols w:space="708"/>
          <w:docGrid w:linePitch="360"/>
        </w:sectPr>
      </w:pPr>
      <w:r>
        <w:rPr>
          <w:rFonts w:ascii="Traditional Arabic" w:hAnsi="Traditional Arabic" w:cs="Traditional Arabic" w:hint="cs"/>
          <w:sz w:val="28"/>
          <w:szCs w:val="28"/>
          <w:rtl/>
          <w:lang w:bidi="ar-DZ"/>
        </w:rPr>
        <w:t xml:space="preserve">هدايا  مختلفة: قابلة للخصم بشرط عدم تجاوز 500 دينار جزائري للوحدة، مع استثناء تلك المتميزة بالطابع الاشهاري والإعانات والتبرعات ماعدا تلك الممنوحة عينا أو نقدا للمؤسسات والجمعيات ذات الطابع الإنساني ما لم تتجاوز قيمتها  2 </w:t>
      </w:r>
      <w:r>
        <w:rPr>
          <w:rFonts w:ascii="Traditional Arabic" w:hAnsi="Traditional Arabic" w:cs="Traditional Arabic" w:hint="cs"/>
          <w:b/>
          <w:bCs/>
          <w:sz w:val="28"/>
          <w:szCs w:val="28"/>
          <w:rtl/>
          <w:lang w:bidi="ar-DZ"/>
        </w:rPr>
        <w:t xml:space="preserve">ملاين </w:t>
      </w:r>
      <w:r w:rsidRPr="003F65A8">
        <w:rPr>
          <w:rFonts w:ascii="Traditional Arabic" w:hAnsi="Traditional Arabic" w:cs="Traditional Arabic" w:hint="cs"/>
          <w:b/>
          <w:bCs/>
          <w:sz w:val="28"/>
          <w:szCs w:val="28"/>
          <w:rtl/>
          <w:lang w:bidi="ar-DZ"/>
        </w:rPr>
        <w:t>دينار جزائري</w:t>
      </w: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مصاريف المستخدمين: تعتبر مصاريف المستخدمين كالعلاوات والتعويضات والمستحقات الجبائية المتعلقة بذلك قابلة للخصم، وفيما يخص العوائد المدفوعة لغير الأجراء مثل الأتعاب والسمسرات فهي كذلك قابلة للخصم لكن بشرط التصريح بها في أجل 30 يوما</w:t>
      </w: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الأعباء الجبائية: كل الضرائب الواقعة على عائق المؤسسة قابلة للخصم والمحصلة خلال السنة المالية باستثناء الضريبة على أرباح الشركات</w:t>
      </w:r>
    </w:p>
    <w:p w:rsidR="00FB0E09" w:rsidRDefault="00FB0E09" w:rsidP="00FB0E09">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الأعباء المالية: تعتبر الفوائد وأرباح الصرف وغيرها من المصاريف المالية الخاصة بالاقتراضات المالية قابلة للخصم من أرباح السنة المالية التي استحقت فيها </w:t>
      </w:r>
    </w:p>
    <w:p w:rsidR="00FB0E09" w:rsidRDefault="00FB0E09" w:rsidP="00FB0E09">
      <w:pPr>
        <w:bidi/>
        <w:spacing w:after="0"/>
        <w:rPr>
          <w:rFonts w:ascii="Traditional Arabic" w:hAnsi="Traditional Arabic" w:cs="Traditional Arabic"/>
          <w:sz w:val="28"/>
          <w:szCs w:val="28"/>
          <w:rtl/>
          <w:lang w:bidi="ar-DZ"/>
        </w:rPr>
      </w:pPr>
      <w:r w:rsidRPr="00CF4129">
        <w:rPr>
          <w:rFonts w:ascii="Traditional Arabic" w:hAnsi="Traditional Arabic" w:cs="Traditional Arabic" w:hint="cs"/>
          <w:b/>
          <w:bCs/>
          <w:sz w:val="28"/>
          <w:szCs w:val="28"/>
          <w:rtl/>
          <w:lang w:bidi="ar-DZ"/>
        </w:rPr>
        <w:t>مصاريف التأمين:</w:t>
      </w:r>
      <w:r>
        <w:rPr>
          <w:rFonts w:ascii="Traditional Arabic" w:hAnsi="Traditional Arabic" w:cs="Traditional Arabic" w:hint="cs"/>
          <w:sz w:val="28"/>
          <w:szCs w:val="28"/>
          <w:rtl/>
          <w:lang w:bidi="ar-DZ"/>
        </w:rPr>
        <w:t xml:space="preserve"> قابلة للخصم الخاصة بعناصر الأصول من المخاطر المحتملة ( حرائق، فيضانات)</w:t>
      </w:r>
    </w:p>
    <w:p w:rsidR="00FB0E09" w:rsidRDefault="00FB0E09" w:rsidP="00FB0E09">
      <w:pPr>
        <w:bidi/>
        <w:spacing w:after="0"/>
        <w:rPr>
          <w:rFonts w:ascii="Traditional Arabic" w:hAnsi="Traditional Arabic" w:cs="Traditional Arabic"/>
          <w:sz w:val="28"/>
          <w:szCs w:val="28"/>
          <w:rtl/>
          <w:lang w:bidi="ar-DZ"/>
        </w:rPr>
      </w:pPr>
      <w:r w:rsidRPr="00CF4129">
        <w:rPr>
          <w:rFonts w:ascii="Traditional Arabic" w:hAnsi="Traditional Arabic" w:cs="Traditional Arabic" w:hint="cs"/>
          <w:b/>
          <w:bCs/>
          <w:sz w:val="28"/>
          <w:szCs w:val="28"/>
          <w:rtl/>
          <w:lang w:bidi="ar-DZ"/>
        </w:rPr>
        <w:t>مصاريف الإشهار</w:t>
      </w:r>
      <w:r>
        <w:rPr>
          <w:rFonts w:ascii="Traditional Arabic" w:hAnsi="Traditional Arabic" w:cs="Traditional Arabic" w:hint="cs"/>
          <w:sz w:val="28"/>
          <w:szCs w:val="28"/>
          <w:rtl/>
          <w:lang w:bidi="ar-DZ"/>
        </w:rPr>
        <w:t>: تعتبر مصاريف الإشهار أعباءا قابلة للخصم شريطة أن لا يتجاوز مبلغها 10</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من رقم أعمال السنة المالية بالنسبة للأشخاص الطبيعيين أو المعنويين في حد أقصاه </w:t>
      </w:r>
      <w:r>
        <w:rPr>
          <w:rFonts w:ascii="Traditional Arabic" w:hAnsi="Traditional Arabic" w:cs="Traditional Arabic" w:hint="cs"/>
          <w:b/>
          <w:bCs/>
          <w:sz w:val="28"/>
          <w:szCs w:val="28"/>
          <w:rtl/>
          <w:lang w:bidi="ar-DZ"/>
        </w:rPr>
        <w:t>30</w:t>
      </w:r>
      <w:r w:rsidRPr="00BB19A9">
        <w:rPr>
          <w:rFonts w:ascii="Traditional Arabic" w:hAnsi="Traditional Arabic" w:cs="Traditional Arabic" w:hint="cs"/>
          <w:b/>
          <w:bCs/>
          <w:sz w:val="28"/>
          <w:szCs w:val="28"/>
          <w:rtl/>
          <w:lang w:bidi="ar-DZ"/>
        </w:rPr>
        <w:t xml:space="preserve"> مليون دينار جزائري</w:t>
      </w:r>
    </w:p>
    <w:p w:rsidR="00FB0E09" w:rsidRPr="00A93251" w:rsidRDefault="00FB0E09" w:rsidP="00FB0E09">
      <w:pPr>
        <w:bidi/>
        <w:rPr>
          <w:b/>
          <w:bCs/>
          <w:sz w:val="28"/>
          <w:szCs w:val="28"/>
          <w:rtl/>
          <w:lang w:bidi="ar-DZ"/>
        </w:rPr>
      </w:pPr>
      <w:r w:rsidRPr="00A93251">
        <w:rPr>
          <w:rFonts w:hint="cs"/>
          <w:b/>
          <w:bCs/>
          <w:sz w:val="28"/>
          <w:szCs w:val="28"/>
          <w:rtl/>
          <w:lang w:bidi="ar-DZ"/>
        </w:rPr>
        <w:t>2-المعالجة الجبائية للإهتلاكات:</w:t>
      </w:r>
    </w:p>
    <w:p w:rsidR="00FB0E09" w:rsidRPr="00A93251" w:rsidRDefault="00FB0E09" w:rsidP="00FB0E09">
      <w:pPr>
        <w:bidi/>
        <w:rPr>
          <w:b/>
          <w:bCs/>
          <w:sz w:val="28"/>
          <w:szCs w:val="28"/>
          <w:rtl/>
          <w:lang w:bidi="ar-DZ"/>
        </w:rPr>
      </w:pPr>
      <w:r w:rsidRPr="00A93251">
        <w:rPr>
          <w:rFonts w:hint="cs"/>
          <w:b/>
          <w:bCs/>
          <w:sz w:val="28"/>
          <w:szCs w:val="28"/>
          <w:rtl/>
          <w:lang w:bidi="ar-DZ"/>
        </w:rPr>
        <w:t xml:space="preserve">تعريف الاهتلاك جبائيا:  </w:t>
      </w:r>
    </w:p>
    <w:p w:rsidR="00FB0E09" w:rsidRDefault="00FB0E09" w:rsidP="00FB0E09">
      <w:pPr>
        <w:bidi/>
        <w:rPr>
          <w:sz w:val="28"/>
          <w:szCs w:val="28"/>
          <w:rtl/>
          <w:lang w:bidi="ar-DZ"/>
        </w:rPr>
      </w:pPr>
      <w:r>
        <w:rPr>
          <w:rFonts w:hint="cs"/>
          <w:sz w:val="28"/>
          <w:szCs w:val="28"/>
          <w:rtl/>
          <w:lang w:bidi="ar-DZ"/>
        </w:rPr>
        <w:t>هو عبء تتحمله المؤسسة نتيجة النقص الذي تتعرض له استثماراتها بفعل الاستخدام أو التقدم التكنولوجي أو مرور الزمن ويستوجب خصمه من الايرادات عند تحديد النتيجة</w:t>
      </w:r>
    </w:p>
    <w:p w:rsidR="00FB0E09" w:rsidRPr="00A93251" w:rsidRDefault="00FB0E09" w:rsidP="00FB0E09">
      <w:pPr>
        <w:bidi/>
        <w:rPr>
          <w:b/>
          <w:bCs/>
          <w:sz w:val="28"/>
          <w:szCs w:val="28"/>
          <w:rtl/>
          <w:lang w:bidi="ar-DZ"/>
        </w:rPr>
      </w:pPr>
      <w:r w:rsidRPr="00A93251">
        <w:rPr>
          <w:rFonts w:hint="cs"/>
          <w:b/>
          <w:bCs/>
          <w:sz w:val="28"/>
          <w:szCs w:val="28"/>
          <w:rtl/>
          <w:lang w:bidi="ar-DZ"/>
        </w:rPr>
        <w:t>شروط خصم الاهتلاكات:</w:t>
      </w:r>
    </w:p>
    <w:p w:rsidR="00FB0E09" w:rsidRDefault="00FB0E09" w:rsidP="00FB0E09">
      <w:pPr>
        <w:bidi/>
        <w:rPr>
          <w:sz w:val="28"/>
          <w:szCs w:val="28"/>
          <w:rtl/>
          <w:lang w:bidi="ar-DZ"/>
        </w:rPr>
      </w:pPr>
      <w:r>
        <w:rPr>
          <w:rFonts w:hint="cs"/>
          <w:sz w:val="28"/>
          <w:szCs w:val="28"/>
          <w:rtl/>
          <w:lang w:bidi="ar-DZ"/>
        </w:rPr>
        <w:t>أن تكون قاعدة اهتلاك التثبيت محددة بتكلفة الشراء خارج الرسم على القيمة المضافة (سعر الشراء+المصاريف الملحقة) بالنسبة للتثبيتات التي تستعمل في نشاط خاضع للرسم ، أما بالنسبة للسيارات السياحية حدد المشرع قاعدة اهتلاكها ب</w:t>
      </w:r>
      <w:r w:rsidRPr="00CF4129">
        <w:rPr>
          <w:rFonts w:hint="cs"/>
          <w:b/>
          <w:bCs/>
          <w:sz w:val="28"/>
          <w:szCs w:val="28"/>
          <w:rtl/>
          <w:lang w:bidi="ar-DZ"/>
        </w:rPr>
        <w:t xml:space="preserve">مليون دج(1000000 دج)، </w:t>
      </w:r>
      <w:r>
        <w:rPr>
          <w:rFonts w:hint="cs"/>
          <w:sz w:val="28"/>
          <w:szCs w:val="28"/>
          <w:rtl/>
          <w:lang w:bidi="ar-DZ"/>
        </w:rPr>
        <w:t>ولا يطبق هذا السقف اذا كانت السيارة السياحية أداة أساسية لنشاط المؤسسة حسب المادة 141 من ق ض م الفقرة 3</w:t>
      </w:r>
    </w:p>
    <w:p w:rsidR="00FB0E09" w:rsidRDefault="00FB0E09" w:rsidP="00FB0E09">
      <w:pPr>
        <w:bidi/>
        <w:rPr>
          <w:sz w:val="28"/>
          <w:szCs w:val="28"/>
          <w:rtl/>
          <w:lang w:bidi="ar-DZ"/>
        </w:rPr>
      </w:pPr>
      <w:r>
        <w:rPr>
          <w:rFonts w:hint="cs"/>
          <w:sz w:val="28"/>
          <w:szCs w:val="28"/>
          <w:rtl/>
          <w:lang w:bidi="ar-DZ"/>
        </w:rPr>
        <w:t>وبالنسبة لعقد القرض الايجاري يتم حساب الاهتلاكات على أساس مرحلة تساوي مدة العقد الايجاري</w:t>
      </w:r>
    </w:p>
    <w:p w:rsidR="00FB0E09" w:rsidRDefault="00FB0E09" w:rsidP="00FB0E09">
      <w:pPr>
        <w:bidi/>
        <w:rPr>
          <w:sz w:val="28"/>
          <w:szCs w:val="28"/>
          <w:rtl/>
          <w:lang w:bidi="ar-DZ"/>
        </w:rPr>
      </w:pPr>
      <w:r>
        <w:rPr>
          <w:rFonts w:hint="cs"/>
          <w:sz w:val="28"/>
          <w:szCs w:val="28"/>
          <w:rtl/>
          <w:lang w:bidi="ar-DZ"/>
        </w:rPr>
        <w:t>أن يكون الاهتلاك مقيد في المحاسبة</w:t>
      </w:r>
    </w:p>
    <w:p w:rsidR="00FB0E09" w:rsidRDefault="00FB0E09" w:rsidP="00FB0E09">
      <w:pPr>
        <w:bidi/>
        <w:rPr>
          <w:sz w:val="28"/>
          <w:szCs w:val="28"/>
          <w:rtl/>
          <w:lang w:bidi="ar-DZ"/>
        </w:rPr>
      </w:pPr>
      <w:r w:rsidRPr="00A93251">
        <w:rPr>
          <w:rFonts w:hint="cs"/>
          <w:b/>
          <w:bCs/>
          <w:sz w:val="28"/>
          <w:szCs w:val="28"/>
          <w:rtl/>
          <w:lang w:bidi="ar-DZ"/>
        </w:rPr>
        <w:t>طرق الاهتلاك المالي</w:t>
      </w:r>
      <w:r>
        <w:rPr>
          <w:rFonts w:hint="cs"/>
          <w:sz w:val="28"/>
          <w:szCs w:val="28"/>
          <w:rtl/>
          <w:lang w:bidi="ar-DZ"/>
        </w:rPr>
        <w:t>:</w:t>
      </w:r>
    </w:p>
    <w:p w:rsidR="00FB0E09" w:rsidRDefault="00FB0E09" w:rsidP="00FB0E09">
      <w:pPr>
        <w:bidi/>
        <w:rPr>
          <w:sz w:val="28"/>
          <w:szCs w:val="28"/>
          <w:rtl/>
          <w:lang w:bidi="ar-DZ"/>
        </w:rPr>
      </w:pPr>
      <w:r>
        <w:rPr>
          <w:rFonts w:hint="cs"/>
          <w:sz w:val="28"/>
          <w:szCs w:val="28"/>
          <w:rtl/>
          <w:lang w:bidi="ar-DZ"/>
        </w:rPr>
        <w:t>لقد حددت المادة 174 من ق ض م طرق الاهتلاك كمايلي:</w:t>
      </w:r>
    </w:p>
    <w:p w:rsidR="00FB0E09" w:rsidRDefault="00FB0E09" w:rsidP="00FB0E09">
      <w:pPr>
        <w:bidi/>
        <w:rPr>
          <w:sz w:val="28"/>
          <w:szCs w:val="28"/>
          <w:rtl/>
          <w:lang w:bidi="ar-DZ"/>
        </w:rPr>
      </w:pPr>
      <w:r>
        <w:rPr>
          <w:rFonts w:hint="cs"/>
          <w:sz w:val="28"/>
          <w:szCs w:val="28"/>
          <w:rtl/>
          <w:lang w:bidi="ar-DZ"/>
        </w:rPr>
        <w:t xml:space="preserve">طريقة الاهتلاك الخطي: يطبق نظام الاهتلاك الخطي على جميع أنواع التثبيتات، أي أن قسط الاهتلاك هو قسط سنوي ثابت يساوي القيمة الأصلية/ عدد السنوات </w:t>
      </w:r>
    </w:p>
    <w:p w:rsidR="00FB0E09" w:rsidRDefault="00FB0E09" w:rsidP="00FB0E09">
      <w:pPr>
        <w:bidi/>
        <w:rPr>
          <w:sz w:val="28"/>
          <w:szCs w:val="28"/>
          <w:rtl/>
          <w:lang w:bidi="ar-DZ"/>
        </w:rPr>
      </w:pPr>
      <w:r>
        <w:rPr>
          <w:rFonts w:hint="cs"/>
          <w:sz w:val="28"/>
          <w:szCs w:val="28"/>
          <w:rtl/>
          <w:lang w:bidi="ar-DZ"/>
        </w:rPr>
        <w:t>طريقة الاهتلاك التنازلي: تطبق هذه التثبيتات ( التجهيزات) التي تدخل مباشرة في عملية الانتاج ماعدا العقارات والمحلات والمباني السكنية والورشات المستخدمة، إلا في حالة المباني والمحلات التي تستخدمها مؤسسات القطاع السياحي لممارسة نشاطها السياحي</w:t>
      </w:r>
    </w:p>
    <w:p w:rsidR="00FB0E09" w:rsidRDefault="00FB0E09" w:rsidP="00FB0E09">
      <w:pPr>
        <w:bidi/>
        <w:rPr>
          <w:sz w:val="28"/>
          <w:szCs w:val="28"/>
          <w:rtl/>
          <w:lang w:bidi="ar-DZ"/>
        </w:rPr>
      </w:pPr>
      <w:r>
        <w:rPr>
          <w:rFonts w:hint="cs"/>
          <w:sz w:val="28"/>
          <w:szCs w:val="28"/>
          <w:rtl/>
          <w:lang w:bidi="ar-DZ"/>
        </w:rPr>
        <w:t>ومن شروط تطبيق هذه الطريقة:</w:t>
      </w:r>
    </w:p>
    <w:p w:rsidR="00FB0E09" w:rsidRPr="00FC7AAD" w:rsidRDefault="00FB0E09" w:rsidP="00FB0E09">
      <w:pPr>
        <w:pStyle w:val="Paragraphedeliste"/>
        <w:numPr>
          <w:ilvl w:val="0"/>
          <w:numId w:val="2"/>
        </w:numPr>
        <w:rPr>
          <w:sz w:val="28"/>
          <w:szCs w:val="28"/>
          <w:rtl/>
          <w:lang w:bidi="ar-DZ"/>
        </w:rPr>
      </w:pPr>
      <w:r w:rsidRPr="00FC7AAD">
        <w:rPr>
          <w:rFonts w:hint="cs"/>
          <w:sz w:val="28"/>
          <w:szCs w:val="28"/>
          <w:rtl/>
          <w:lang w:bidi="ar-DZ"/>
        </w:rPr>
        <w:t>يجب على المؤسسة إعداد قائمة التجهيزات التي تخضع المتناقص</w:t>
      </w:r>
    </w:p>
    <w:p w:rsidR="00FB0E09" w:rsidRPr="00FC7AAD" w:rsidRDefault="00FB0E09" w:rsidP="00FB0E09">
      <w:pPr>
        <w:pStyle w:val="Paragraphedeliste"/>
        <w:numPr>
          <w:ilvl w:val="0"/>
          <w:numId w:val="2"/>
        </w:numPr>
        <w:rPr>
          <w:sz w:val="28"/>
          <w:szCs w:val="28"/>
          <w:rtl/>
          <w:lang w:bidi="ar-DZ"/>
        </w:rPr>
      </w:pPr>
      <w:r w:rsidRPr="00FC7AAD">
        <w:rPr>
          <w:rFonts w:hint="cs"/>
          <w:sz w:val="28"/>
          <w:szCs w:val="28"/>
          <w:rtl/>
          <w:lang w:bidi="ar-DZ"/>
        </w:rPr>
        <w:t>حساب الاهتلاك المتناقص يكون على أساس تكلفة الشراء</w:t>
      </w:r>
    </w:p>
    <w:p w:rsidR="00FB0E09" w:rsidRPr="00FC7AAD" w:rsidRDefault="00FB0E09" w:rsidP="00FB0E09">
      <w:pPr>
        <w:pStyle w:val="Paragraphedeliste"/>
        <w:numPr>
          <w:ilvl w:val="0"/>
          <w:numId w:val="2"/>
        </w:numPr>
        <w:rPr>
          <w:sz w:val="28"/>
          <w:szCs w:val="28"/>
          <w:rtl/>
          <w:lang w:bidi="ar-DZ"/>
        </w:rPr>
      </w:pPr>
      <w:r w:rsidRPr="00FC7AAD">
        <w:rPr>
          <w:rFonts w:hint="cs"/>
          <w:sz w:val="28"/>
          <w:szCs w:val="28"/>
          <w:rtl/>
          <w:lang w:bidi="ar-DZ"/>
        </w:rPr>
        <w:t xml:space="preserve">كتابة طلب لمصلحة الضرائب يطلب فيه السماح باعتماد هذه الطريقة وذلك مباشرة عند التصريح بالاقتناء أو انجاز التثبيتات، وفي حالة القبول لا يمكن للمؤسسة التراجع </w:t>
      </w:r>
    </w:p>
    <w:p w:rsidR="00FB0E09" w:rsidRPr="00FC7AAD" w:rsidRDefault="00FB0E09" w:rsidP="00FB0E09">
      <w:pPr>
        <w:pStyle w:val="Paragraphedeliste"/>
        <w:numPr>
          <w:ilvl w:val="0"/>
          <w:numId w:val="2"/>
        </w:numPr>
        <w:rPr>
          <w:sz w:val="28"/>
          <w:szCs w:val="28"/>
          <w:rtl/>
          <w:lang w:bidi="ar-DZ"/>
        </w:rPr>
      </w:pPr>
      <w:r w:rsidRPr="00FC7AAD">
        <w:rPr>
          <w:rFonts w:hint="cs"/>
          <w:sz w:val="28"/>
          <w:szCs w:val="28"/>
          <w:rtl/>
          <w:lang w:bidi="ar-DZ"/>
        </w:rPr>
        <w:t>أن لا تقل مدة حياة التثبيت عن 3 سنوات</w:t>
      </w:r>
    </w:p>
    <w:p w:rsidR="00FB0E09" w:rsidRDefault="00FB0E09" w:rsidP="00FB0E09">
      <w:pPr>
        <w:pStyle w:val="Paragraphedeliste"/>
        <w:numPr>
          <w:ilvl w:val="0"/>
          <w:numId w:val="2"/>
        </w:numPr>
        <w:rPr>
          <w:sz w:val="28"/>
          <w:szCs w:val="28"/>
          <w:lang w:bidi="ar-DZ"/>
        </w:rPr>
      </w:pPr>
      <w:r w:rsidRPr="00FC7AAD">
        <w:rPr>
          <w:rFonts w:hint="cs"/>
          <w:sz w:val="28"/>
          <w:szCs w:val="28"/>
          <w:rtl/>
          <w:lang w:bidi="ar-DZ"/>
        </w:rPr>
        <w:lastRenderedPageBreak/>
        <w:t>أن تكون التجهيزات والمعدات مستعملة مباشرة في عملية الانتاج</w:t>
      </w:r>
    </w:p>
    <w:p w:rsidR="00FB0E09" w:rsidRDefault="00FB0E09" w:rsidP="00FB0E09">
      <w:pPr>
        <w:pStyle w:val="Paragraphedeliste"/>
        <w:numPr>
          <w:ilvl w:val="0"/>
          <w:numId w:val="2"/>
        </w:numPr>
        <w:rPr>
          <w:sz w:val="28"/>
          <w:szCs w:val="28"/>
          <w:lang w:bidi="ar-DZ"/>
        </w:rPr>
      </w:pPr>
      <w:r>
        <w:rPr>
          <w:rFonts w:hint="cs"/>
          <w:sz w:val="28"/>
          <w:szCs w:val="28"/>
          <w:rtl/>
          <w:lang w:bidi="ar-DZ"/>
        </w:rPr>
        <w:t xml:space="preserve">يتم استخدام المعاملات الضريبية في الاهتلاك المتناقص كمايلي حسب العمر الانتاجي للتثبيت </w:t>
      </w:r>
    </w:p>
    <w:p w:rsidR="00FB0E09" w:rsidRDefault="00FB0E09" w:rsidP="00FB0E09">
      <w:pPr>
        <w:pStyle w:val="Paragraphedeliste"/>
        <w:numPr>
          <w:ilvl w:val="0"/>
          <w:numId w:val="2"/>
        </w:numPr>
        <w:rPr>
          <w:sz w:val="28"/>
          <w:szCs w:val="28"/>
          <w:lang w:bidi="ar-DZ"/>
        </w:rPr>
      </w:pPr>
      <w:r>
        <w:rPr>
          <w:rFonts w:hint="cs"/>
          <w:sz w:val="28"/>
          <w:szCs w:val="28"/>
          <w:rtl/>
          <w:lang w:bidi="ar-DZ"/>
        </w:rPr>
        <w:t>1.5 من 3-4 سنوات</w:t>
      </w:r>
    </w:p>
    <w:p w:rsidR="00FB0E09" w:rsidRDefault="00FB0E09" w:rsidP="00FB0E09">
      <w:pPr>
        <w:pStyle w:val="Paragraphedeliste"/>
        <w:numPr>
          <w:ilvl w:val="0"/>
          <w:numId w:val="2"/>
        </w:numPr>
        <w:rPr>
          <w:sz w:val="28"/>
          <w:szCs w:val="28"/>
          <w:lang w:bidi="ar-DZ"/>
        </w:rPr>
      </w:pPr>
      <w:r>
        <w:rPr>
          <w:rFonts w:hint="cs"/>
          <w:sz w:val="28"/>
          <w:szCs w:val="28"/>
          <w:rtl/>
          <w:lang w:bidi="ar-DZ"/>
        </w:rPr>
        <w:t>2 من 5 -6 سنوات</w:t>
      </w:r>
    </w:p>
    <w:p w:rsidR="00FB0E09" w:rsidRDefault="00FB0E09" w:rsidP="00FB0E09">
      <w:pPr>
        <w:pStyle w:val="Paragraphedeliste"/>
        <w:numPr>
          <w:ilvl w:val="0"/>
          <w:numId w:val="2"/>
        </w:numPr>
        <w:rPr>
          <w:sz w:val="28"/>
          <w:szCs w:val="28"/>
          <w:lang w:bidi="ar-DZ"/>
        </w:rPr>
      </w:pPr>
      <w:r>
        <w:rPr>
          <w:rFonts w:hint="cs"/>
          <w:sz w:val="28"/>
          <w:szCs w:val="28"/>
          <w:rtl/>
          <w:lang w:bidi="ar-DZ"/>
        </w:rPr>
        <w:t>2.5 6 سنوات فما فوق</w:t>
      </w:r>
    </w:p>
    <w:p w:rsidR="00FB0E09" w:rsidRDefault="00FB0E09" w:rsidP="00FB0E09">
      <w:pPr>
        <w:bidi/>
        <w:rPr>
          <w:sz w:val="28"/>
          <w:szCs w:val="28"/>
          <w:rtl/>
          <w:lang w:bidi="ar-DZ"/>
        </w:rPr>
      </w:pPr>
      <w:r>
        <w:rPr>
          <w:rFonts w:hint="cs"/>
          <w:sz w:val="28"/>
          <w:szCs w:val="28"/>
          <w:rtl/>
          <w:lang w:bidi="ar-DZ"/>
        </w:rPr>
        <w:t>الاهتلاك التصاعدي (المتزايد)</w:t>
      </w:r>
    </w:p>
    <w:p w:rsidR="00FB0E09" w:rsidRDefault="00FB0E09" w:rsidP="00FB0E09">
      <w:pPr>
        <w:bidi/>
        <w:rPr>
          <w:sz w:val="28"/>
          <w:szCs w:val="28"/>
          <w:rtl/>
          <w:lang w:bidi="ar-DZ"/>
        </w:rPr>
      </w:pPr>
      <w:r>
        <w:rPr>
          <w:rFonts w:hint="cs"/>
          <w:sz w:val="28"/>
          <w:szCs w:val="28"/>
          <w:rtl/>
          <w:lang w:bidi="ar-DZ"/>
        </w:rPr>
        <w:t>لايوجد شرط لتطبيق هذا النوع من الاهتلاك بحيث يطبق على جميع أنواع التثبيتات بعد تقديم طلب للإدارة الجبائية مرفقا بالتصريح السنوي للنتائج</w:t>
      </w:r>
    </w:p>
    <w:p w:rsidR="00FB0E09" w:rsidRPr="00A93251" w:rsidRDefault="00FB0E09" w:rsidP="00FB0E09">
      <w:pPr>
        <w:bidi/>
        <w:rPr>
          <w:b/>
          <w:bCs/>
          <w:sz w:val="28"/>
          <w:szCs w:val="28"/>
          <w:rtl/>
          <w:lang w:bidi="ar-DZ"/>
        </w:rPr>
      </w:pPr>
      <w:r w:rsidRPr="00A93251">
        <w:rPr>
          <w:rFonts w:hint="cs"/>
          <w:b/>
          <w:bCs/>
          <w:sz w:val="28"/>
          <w:szCs w:val="28"/>
          <w:rtl/>
          <w:lang w:bidi="ar-DZ"/>
        </w:rPr>
        <w:t>3-المعالجة الجبائية للمؤونات:</w:t>
      </w:r>
    </w:p>
    <w:p w:rsidR="00FB0E09" w:rsidRPr="00A93251" w:rsidRDefault="00FB0E09" w:rsidP="00FB0E09">
      <w:pPr>
        <w:bidi/>
        <w:rPr>
          <w:b/>
          <w:bCs/>
          <w:sz w:val="28"/>
          <w:szCs w:val="28"/>
          <w:rtl/>
          <w:lang w:bidi="ar-DZ"/>
        </w:rPr>
      </w:pPr>
      <w:r w:rsidRPr="00A93251">
        <w:rPr>
          <w:rFonts w:hint="cs"/>
          <w:b/>
          <w:bCs/>
          <w:sz w:val="28"/>
          <w:szCs w:val="28"/>
          <w:rtl/>
          <w:lang w:bidi="ar-DZ"/>
        </w:rPr>
        <w:t>التعريف الجبائي للمؤونات:</w:t>
      </w:r>
    </w:p>
    <w:p w:rsidR="00FB0E09" w:rsidRDefault="00FB0E09" w:rsidP="00FB0E09">
      <w:pPr>
        <w:bidi/>
        <w:rPr>
          <w:sz w:val="28"/>
          <w:szCs w:val="28"/>
          <w:rtl/>
          <w:lang w:bidi="ar-DZ"/>
        </w:rPr>
      </w:pPr>
      <w:r>
        <w:rPr>
          <w:rFonts w:hint="cs"/>
          <w:sz w:val="28"/>
          <w:szCs w:val="28"/>
          <w:rtl/>
          <w:lang w:bidi="ar-DZ"/>
        </w:rPr>
        <w:t>هي التخفيضات من الأرباح الخاضعة للضريبة لتغطية الخسائر المحتملة شرط أن تكون هذه التخفيضات محددة بدقة ومسجلة في الدورة وتظهر في الجداول الملحقة في المؤونات</w:t>
      </w:r>
    </w:p>
    <w:p w:rsidR="00FB0E09" w:rsidRPr="00A93251" w:rsidRDefault="00FB0E09" w:rsidP="00FB0E09">
      <w:pPr>
        <w:bidi/>
        <w:rPr>
          <w:b/>
          <w:bCs/>
          <w:sz w:val="28"/>
          <w:szCs w:val="28"/>
          <w:rtl/>
          <w:lang w:bidi="ar-DZ"/>
        </w:rPr>
      </w:pPr>
      <w:r w:rsidRPr="00A93251">
        <w:rPr>
          <w:rFonts w:hint="cs"/>
          <w:b/>
          <w:bCs/>
          <w:sz w:val="28"/>
          <w:szCs w:val="28"/>
          <w:rtl/>
          <w:lang w:bidi="ar-DZ"/>
        </w:rPr>
        <w:t>شرط خصم المؤونات:</w:t>
      </w:r>
    </w:p>
    <w:p w:rsidR="00FB0E09" w:rsidRPr="00A93251" w:rsidRDefault="00FB0E09" w:rsidP="00FB0E09">
      <w:pPr>
        <w:pStyle w:val="Paragraphedeliste"/>
        <w:numPr>
          <w:ilvl w:val="0"/>
          <w:numId w:val="3"/>
        </w:numPr>
        <w:rPr>
          <w:sz w:val="28"/>
          <w:szCs w:val="28"/>
          <w:rtl/>
          <w:lang w:bidi="ar-DZ"/>
        </w:rPr>
      </w:pPr>
      <w:r w:rsidRPr="00A93251">
        <w:rPr>
          <w:rFonts w:hint="cs"/>
          <w:sz w:val="28"/>
          <w:szCs w:val="28"/>
          <w:rtl/>
          <w:lang w:bidi="ar-DZ"/>
        </w:rPr>
        <w:t xml:space="preserve">أن تخصص هذه المؤونات لخسائر تكون المصاريف المتعلقة بها قابلة للخصم </w:t>
      </w:r>
    </w:p>
    <w:p w:rsidR="00FB0E09" w:rsidRPr="00A93251" w:rsidRDefault="00FB0E09" w:rsidP="00FB0E09">
      <w:pPr>
        <w:pStyle w:val="Paragraphedeliste"/>
        <w:numPr>
          <w:ilvl w:val="0"/>
          <w:numId w:val="3"/>
        </w:numPr>
        <w:rPr>
          <w:sz w:val="28"/>
          <w:szCs w:val="28"/>
          <w:rtl/>
          <w:lang w:bidi="ar-DZ"/>
        </w:rPr>
      </w:pPr>
      <w:r w:rsidRPr="00A93251">
        <w:rPr>
          <w:rFonts w:hint="cs"/>
          <w:sz w:val="28"/>
          <w:szCs w:val="28"/>
          <w:rtl/>
          <w:lang w:bidi="ar-DZ"/>
        </w:rPr>
        <w:t>أن تكون هذه الخسائر ناتجة عن أحداث وقعت خلال السنة المالية المعنية</w:t>
      </w:r>
    </w:p>
    <w:p w:rsidR="00FB0E09" w:rsidRPr="00A93251" w:rsidRDefault="00FB0E09" w:rsidP="00FB0E09">
      <w:pPr>
        <w:pStyle w:val="Paragraphedeliste"/>
        <w:numPr>
          <w:ilvl w:val="0"/>
          <w:numId w:val="3"/>
        </w:numPr>
        <w:rPr>
          <w:sz w:val="28"/>
          <w:szCs w:val="28"/>
          <w:rtl/>
          <w:lang w:bidi="ar-DZ"/>
        </w:rPr>
      </w:pPr>
      <w:r w:rsidRPr="00A93251">
        <w:rPr>
          <w:rFonts w:hint="cs"/>
          <w:sz w:val="28"/>
          <w:szCs w:val="28"/>
          <w:rtl/>
          <w:lang w:bidi="ar-DZ"/>
        </w:rPr>
        <w:t xml:space="preserve">أن تكون الخسارة محتملة </w:t>
      </w:r>
    </w:p>
    <w:p w:rsidR="00FB0E09" w:rsidRPr="00A93251" w:rsidRDefault="00FB0E09" w:rsidP="00FB0E09">
      <w:pPr>
        <w:pStyle w:val="Paragraphedeliste"/>
        <w:numPr>
          <w:ilvl w:val="0"/>
          <w:numId w:val="3"/>
        </w:numPr>
        <w:rPr>
          <w:sz w:val="28"/>
          <w:szCs w:val="28"/>
          <w:rtl/>
          <w:lang w:bidi="ar-DZ"/>
        </w:rPr>
      </w:pPr>
      <w:r w:rsidRPr="00A93251">
        <w:rPr>
          <w:rFonts w:hint="cs"/>
          <w:sz w:val="28"/>
          <w:szCs w:val="28"/>
          <w:rtl/>
          <w:lang w:bidi="ar-DZ"/>
        </w:rPr>
        <w:t>أن يكون هذه المؤونات متعلقة بمصاريف محددة</w:t>
      </w:r>
    </w:p>
    <w:p w:rsidR="00FB0E09" w:rsidRPr="00286C99" w:rsidRDefault="00FB0E09" w:rsidP="00FB0E09">
      <w:pPr>
        <w:bidi/>
        <w:rPr>
          <w:sz w:val="28"/>
          <w:szCs w:val="28"/>
          <w:rtl/>
          <w:lang w:bidi="ar-DZ"/>
        </w:rPr>
      </w:pPr>
    </w:p>
    <w:p w:rsidR="00FB0E09" w:rsidRDefault="00FB0E09" w:rsidP="00FB0E09">
      <w:pPr>
        <w:bidi/>
        <w:rPr>
          <w:sz w:val="28"/>
          <w:szCs w:val="28"/>
          <w:rtl/>
          <w:lang w:bidi="ar-DZ"/>
        </w:rPr>
      </w:pPr>
    </w:p>
    <w:p w:rsidR="00FB0E09" w:rsidRPr="00CF4129" w:rsidRDefault="00FB0E09" w:rsidP="00FB0E09">
      <w:pPr>
        <w:bidi/>
        <w:rPr>
          <w:sz w:val="28"/>
          <w:szCs w:val="28"/>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rtl/>
          <w:lang w:bidi="ar-DZ"/>
        </w:rPr>
      </w:pPr>
    </w:p>
    <w:p w:rsidR="00FB0E09" w:rsidRDefault="00FB0E09" w:rsidP="00FB0E09">
      <w:pPr>
        <w:bidi/>
        <w:rPr>
          <w:lang w:bidi="ar-DZ"/>
        </w:rPr>
      </w:pPr>
      <w:r>
        <w:rPr>
          <w:rFonts w:hint="cs"/>
          <w:rtl/>
          <w:lang w:bidi="ar-DZ"/>
        </w:rPr>
        <w:t xml:space="preserve"> ا</w:t>
      </w:r>
    </w:p>
    <w:p w:rsidR="001F0AA9" w:rsidRDefault="001F0AA9" w:rsidP="00FB0E09">
      <w:pPr>
        <w:bidi/>
      </w:pPr>
    </w:p>
    <w:sectPr w:rsidR="001F0AA9" w:rsidSect="00B06383">
      <w:headerReference w:type="default" r:id="rId8"/>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ED2" w:rsidRDefault="00F07ED2" w:rsidP="00FB0E09">
      <w:pPr>
        <w:spacing w:before="0" w:after="0" w:line="240" w:lineRule="auto"/>
      </w:pPr>
      <w:r>
        <w:separator/>
      </w:r>
    </w:p>
  </w:endnote>
  <w:endnote w:type="continuationSeparator" w:id="1">
    <w:p w:rsidR="00F07ED2" w:rsidRDefault="00F07ED2" w:rsidP="00FB0E0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ED2" w:rsidRDefault="00F07ED2" w:rsidP="00FB0E09">
      <w:pPr>
        <w:spacing w:before="0" w:after="0" w:line="240" w:lineRule="auto"/>
      </w:pPr>
      <w:r>
        <w:separator/>
      </w:r>
    </w:p>
  </w:footnote>
  <w:footnote w:type="continuationSeparator" w:id="1">
    <w:p w:rsidR="00F07ED2" w:rsidRDefault="00F07ED2" w:rsidP="00FB0E0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2076476358"/>
      <w:placeholder>
        <w:docPart w:val="26BDB53789634FB9BBABF1E637CD283A"/>
      </w:placeholder>
      <w:dataBinding w:prefixMappings="xmlns:ns0='http://schemas.openxmlformats.org/package/2006/metadata/core-properties' xmlns:ns1='http://purl.org/dc/elements/1.1/'" w:xpath="/ns0:coreProperties[1]/ns1:title[1]" w:storeItemID="{6C3C8BC8-F283-45AE-878A-BAB7291924A1}"/>
      <w:text/>
    </w:sdtPr>
    <w:sdtEndPr/>
    <w:sdtContent>
      <w:p w:rsidR="00A93251" w:rsidRPr="00FB0E09" w:rsidRDefault="00FB0E09" w:rsidP="00FB0E09">
        <w:pPr>
          <w:pStyle w:val="En-tte"/>
          <w:pBdr>
            <w:bottom w:val="thickThinSmallGap" w:sz="24" w:space="1" w:color="823B0B" w:themeColor="accent2" w:themeShade="7F"/>
          </w:pBdr>
          <w:jc w:val="center"/>
          <w:rPr>
            <w:rFonts w:asciiTheme="majorHAnsi" w:eastAsiaTheme="majorEastAsia" w:hAnsiTheme="majorHAnsi" w:cstheme="majorBidi"/>
            <w:sz w:val="32"/>
            <w:szCs w:val="32"/>
            <w:lang w:val="fr-FR"/>
          </w:rPr>
        </w:pPr>
        <w:r>
          <w:rPr>
            <w:rFonts w:asciiTheme="majorHAnsi" w:eastAsiaTheme="majorEastAsia" w:hAnsiTheme="majorHAnsi" w:cstheme="majorBidi" w:hint="cs"/>
            <w:sz w:val="32"/>
            <w:szCs w:val="32"/>
            <w:rtl/>
          </w:rPr>
          <w:t>محاضرات في مقياس ندوة في المحاسبة                     د/ العمري أصيلة</w:t>
        </w:r>
      </w:p>
    </w:sdtContent>
  </w:sdt>
  <w:p w:rsidR="00A93251" w:rsidRPr="00FB0E09" w:rsidRDefault="00F07ED2">
    <w:pPr>
      <w:pStyle w:val="En-tte"/>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83" w:rsidRPr="00B06383" w:rsidRDefault="00F07ED2" w:rsidP="00B06383">
    <w:pPr>
      <w:pStyle w:val="En-tte"/>
      <w:pBdr>
        <w:bottom w:val="thickThinSmallGap" w:sz="24" w:space="1" w:color="823B0B" w:themeColor="accent2" w:themeShade="7F"/>
      </w:pBdr>
      <w:jc w:val="center"/>
      <w:rPr>
        <w:rFonts w:asciiTheme="majorHAnsi" w:eastAsiaTheme="majorEastAsia" w:hAnsiTheme="majorHAnsi" w:cstheme="majorBidi"/>
        <w:b/>
        <w:bCs/>
        <w:sz w:val="32"/>
        <w:szCs w:val="32"/>
        <w:lang w:val="fr-FR"/>
      </w:rPr>
    </w:pPr>
    <w:r w:rsidRPr="00B06383">
      <w:rPr>
        <w:rFonts w:asciiTheme="majorHAnsi" w:eastAsiaTheme="majorEastAsia" w:hAnsiTheme="majorHAnsi" w:cstheme="majorBidi" w:hint="cs"/>
        <w:b/>
        <w:bCs/>
        <w:sz w:val="32"/>
        <w:szCs w:val="32"/>
        <w:rtl/>
      </w:rPr>
      <w:t xml:space="preserve">محاضرات </w:t>
    </w:r>
    <w:r w:rsidRPr="00B06383">
      <w:rPr>
        <w:rFonts w:asciiTheme="majorHAnsi" w:eastAsiaTheme="majorEastAsia" w:hAnsiTheme="majorHAnsi" w:cstheme="majorBidi" w:hint="cs"/>
        <w:b/>
        <w:bCs/>
        <w:sz w:val="32"/>
        <w:szCs w:val="32"/>
        <w:rtl/>
      </w:rPr>
      <w:t>مقياس ندوة في المحاسبة                             د/ العمري أصيلة</w:t>
    </w:r>
  </w:p>
  <w:p w:rsidR="00B06383" w:rsidRPr="00B06383" w:rsidRDefault="00F07ED2">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297C"/>
    <w:multiLevelType w:val="hybridMultilevel"/>
    <w:tmpl w:val="800854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977B14"/>
    <w:multiLevelType w:val="hybridMultilevel"/>
    <w:tmpl w:val="E2509C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2D7BAF"/>
    <w:multiLevelType w:val="hybridMultilevel"/>
    <w:tmpl w:val="946A4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3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FB0E09"/>
    <w:rsid w:val="001E7F2D"/>
    <w:rsid w:val="001F0AA9"/>
    <w:rsid w:val="00F07ED2"/>
    <w:rsid w:val="00FB0E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E09"/>
    <w:pPr>
      <w:tabs>
        <w:tab w:val="center" w:pos="4513"/>
        <w:tab w:val="right" w:pos="9026"/>
      </w:tabs>
      <w:spacing w:before="0" w:after="0" w:line="240" w:lineRule="auto"/>
    </w:pPr>
  </w:style>
  <w:style w:type="character" w:customStyle="1" w:styleId="En-tteCar">
    <w:name w:val="En-tête Car"/>
    <w:basedOn w:val="Policepardfaut"/>
    <w:link w:val="En-tte"/>
    <w:uiPriority w:val="99"/>
    <w:rsid w:val="00FB0E09"/>
  </w:style>
  <w:style w:type="paragraph" w:styleId="Paragraphedeliste">
    <w:name w:val="List Paragraph"/>
    <w:basedOn w:val="Normal"/>
    <w:uiPriority w:val="34"/>
    <w:qFormat/>
    <w:rsid w:val="00FB0E09"/>
    <w:pPr>
      <w:bidi/>
      <w:spacing w:before="0" w:after="120" w:line="240" w:lineRule="auto"/>
      <w:ind w:left="720" w:hanging="357"/>
      <w:contextualSpacing/>
      <w:jc w:val="both"/>
    </w:pPr>
    <w:rPr>
      <w:rFonts w:asciiTheme="minorHAnsi" w:hAnsiTheme="minorHAnsi"/>
      <w:sz w:val="22"/>
      <w:lang w:val="fr-FR"/>
    </w:rPr>
  </w:style>
  <w:style w:type="paragraph" w:styleId="Textedebulles">
    <w:name w:val="Balloon Text"/>
    <w:basedOn w:val="Normal"/>
    <w:link w:val="TextedebullesCar"/>
    <w:uiPriority w:val="99"/>
    <w:semiHidden/>
    <w:unhideWhenUsed/>
    <w:rsid w:val="00FB0E09"/>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E09"/>
    <w:rPr>
      <w:rFonts w:ascii="Tahoma" w:hAnsi="Tahoma" w:cs="Tahoma"/>
      <w:sz w:val="16"/>
      <w:szCs w:val="16"/>
    </w:rPr>
  </w:style>
  <w:style w:type="paragraph" w:styleId="Pieddepage">
    <w:name w:val="footer"/>
    <w:basedOn w:val="Normal"/>
    <w:link w:val="PieddepageCar"/>
    <w:uiPriority w:val="99"/>
    <w:semiHidden/>
    <w:unhideWhenUsed/>
    <w:rsid w:val="00FB0E09"/>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semiHidden/>
    <w:rsid w:val="00FB0E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BDB53789634FB9BBABF1E637CD283A"/>
        <w:category>
          <w:name w:val="Général"/>
          <w:gallery w:val="placeholder"/>
        </w:category>
        <w:types>
          <w:type w:val="bbPlcHdr"/>
        </w:types>
        <w:behaviors>
          <w:behavior w:val="content"/>
        </w:behaviors>
        <w:guid w:val="{07BDA2A7-8B28-4AD2-A30D-1B6DA7EE4F5C}"/>
      </w:docPartPr>
      <w:docPartBody>
        <w:p w:rsidR="00000000" w:rsidRDefault="0008014A" w:rsidP="0008014A">
          <w:pPr>
            <w:pStyle w:val="26BDB53789634FB9BBABF1E637CD283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8014A"/>
    <w:rsid w:val="0008014A"/>
    <w:rsid w:val="00811A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6BDB53789634FB9BBABF1E637CD283A">
    <w:name w:val="26BDB53789634FB9BBABF1E637CD283A"/>
    <w:rsid w:val="000801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748</Words>
  <Characters>4120</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ندوة في المحاسبة                     د/ العمري أصيلة</dc:title>
  <dc:creator>Admin</dc:creator>
  <cp:lastModifiedBy>Admin</cp:lastModifiedBy>
  <cp:revision>1</cp:revision>
  <dcterms:created xsi:type="dcterms:W3CDTF">2021-12-12T05:40:00Z</dcterms:created>
  <dcterms:modified xsi:type="dcterms:W3CDTF">2021-12-12T05:46:00Z</dcterms:modified>
</cp:coreProperties>
</file>