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7A" w:rsidRDefault="009C71BC" w:rsidP="00E5487A">
      <w:pPr>
        <w:bidi/>
        <w:spacing w:line="360" w:lineRule="auto"/>
        <w:jc w:val="center"/>
        <w:rPr>
          <w:rFonts w:ascii="Simplified Arabic" w:hAnsi="Simplified Arabic" w:cs="Simplified Arabic"/>
          <w:sz w:val="32"/>
          <w:szCs w:val="32"/>
          <w:lang w:bidi="ar-DZ"/>
        </w:rPr>
      </w:pPr>
      <w:r w:rsidRPr="009C71BC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الفكر </w:t>
      </w:r>
      <w:proofErr w:type="spellStart"/>
      <w:r w:rsidRPr="009C71BC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الخلدوني:</w:t>
      </w:r>
      <w:proofErr w:type="spellEnd"/>
      <w:r w:rsidRPr="009C71BC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المعقول </w:t>
      </w:r>
      <w:proofErr w:type="spellStart"/>
      <w:r w:rsidRPr="009C71BC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واللامعقول</w:t>
      </w:r>
      <w:proofErr w:type="spellEnd"/>
    </w:p>
    <w:p w:rsidR="00E5487A" w:rsidRDefault="00E5487A" w:rsidP="00E5487A">
      <w:pPr>
        <w:bidi/>
        <w:spacing w:line="36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في مقابل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التوظيف العلمي للفكر الخلدوني و</w:t>
      </w:r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الإقرار  بمكانته </w:t>
      </w:r>
      <w:proofErr w:type="spellStart"/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>العلمية،</w:t>
      </w:r>
      <w:proofErr w:type="spellEnd"/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نجد بعض المفكرين الغربيين أغراهم الفكر </w:t>
      </w:r>
      <w:proofErr w:type="spellStart"/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>الخلدوني،</w:t>
      </w:r>
      <w:proofErr w:type="spellEnd"/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لكنهم وظفوه توظيفا إيد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يولوجيا  يخدم نزعتهم العنصرية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والاستعمارية،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فبدا لهم و</w:t>
      </w:r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>كأنه يقدم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تعليلا مقنعا على تخلف المغرب و</w:t>
      </w:r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تعثره  الدائم في أحضان </w:t>
      </w:r>
      <w:proofErr w:type="spellStart"/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>اللا</w:t>
      </w:r>
      <w:proofErr w:type="spellEnd"/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>تاريخ،</w:t>
      </w:r>
      <w:proofErr w:type="spellEnd"/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بمعنى التحليل الخلدوني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للطبيعة قبائل البدو والعصبية و</w:t>
      </w:r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الصراعات بين  </w:t>
      </w:r>
      <w:proofErr w:type="spellStart"/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>القبائل،</w:t>
      </w:r>
      <w:proofErr w:type="spellEnd"/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ينفي أن يكون للمغارب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ة إرادة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جماعية،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عي مشترك يهيئهم إلى بناء دولة وإقامة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حضارة،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قد ندد "مصطفى </w:t>
      </w:r>
      <w:proofErr w:type="spellStart"/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>الأشرف"</w:t>
      </w:r>
      <w:proofErr w:type="spellEnd"/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474A4">
        <w:rPr>
          <w:rFonts w:ascii="Simplified Arabic" w:hAnsi="Simplified Arabic" w:cs="Simplified Arabic" w:hint="cs"/>
          <w:sz w:val="24"/>
          <w:szCs w:val="24"/>
          <w:rtl/>
          <w:lang w:bidi="ar-DZ"/>
        </w:rPr>
        <w:t>(1917-2007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كاتب و مؤرخ و عالم اجتماع </w:t>
      </w:r>
      <w:r w:rsidRPr="00F474A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جزائري</w:t>
      </w:r>
      <w:proofErr w:type="spellStart"/>
      <w:r w:rsidRPr="00F474A4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proofErr w:type="spellEnd"/>
    </w:p>
    <w:p w:rsidR="00E5487A" w:rsidRPr="00F474A4" w:rsidRDefault="00E5487A" w:rsidP="00E5487A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F474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بالتأويلات المغرضة لهؤلاء المفكرين الاستعماريين </w:t>
      </w:r>
      <w:proofErr w:type="spellStart"/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>قائلا"</w:t>
      </w:r>
      <w:proofErr w:type="spellEnd"/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حاول الباحثون ذو النزعة الاستعمارية عبثا تشويه الإرث الخلدوني عبر قراءة سريعة ومتسرعة لكتاب </w:t>
      </w:r>
      <w:proofErr w:type="spellStart"/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>ا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لمقدمة،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فبدا لهم تاريخ المغرب و</w:t>
      </w:r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>كأنه تار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يخ قبائل عربية تعيش على السلب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>النهب،</w:t>
      </w:r>
      <w:proofErr w:type="spellEnd"/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وقبائل بربرية غارقة في النزاع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ات والحروب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(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>...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.)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ظواهر تاريخية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أبوا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 شرحها و</w:t>
      </w:r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>تكرارها في سياق إيديولوج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يا استعمارية تقوم على الهيمنة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والاحتقار"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>كان غرضهم هو حمل القارئ على الاقتناع بفكرة التفوق ا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لأوروبي. ومن هؤلاء "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ماسكوري"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و"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غوتييه"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و"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برتراند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مرورا"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"بجان </w:t>
      </w:r>
      <w:proofErr w:type="spellStart"/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>مير".</w:t>
      </w:r>
      <w:proofErr w:type="spellEnd"/>
    </w:p>
    <w:p w:rsidR="00E5487A" w:rsidRPr="00F305B5" w:rsidRDefault="00E5487A" w:rsidP="00E5487A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و</w:t>
      </w:r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قد تأثر بعض المفكرين العرب بهذه </w:t>
      </w:r>
      <w:proofErr w:type="spellStart"/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>الايدويولوجيا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الغربية القائمة على العنصرية و</w:t>
      </w:r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ساروا على هذا النحو أمثال "محي الدين </w:t>
      </w:r>
      <w:proofErr w:type="spellStart"/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>جندر"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(</w:t>
      </w:r>
      <w:r w:rsidRPr="00F305B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باحث في التاريخ جزائري</w:t>
      </w:r>
      <w:proofErr w:type="spellStart"/>
      <w:r w:rsidRPr="00F305B5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الذي ينتقد "ابن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خلدون"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يعاتبه لأنه أقر بالثنائيات "البربر في مواجهة </w:t>
      </w:r>
      <w:proofErr w:type="spellStart"/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>العرب،</w:t>
      </w:r>
      <w:proofErr w:type="spellEnd"/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الحضر في مواجهة </w:t>
      </w:r>
      <w:proofErr w:type="spellStart"/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>ا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لبدو،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صنهاجة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في مواجهة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زناته،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>لم يعمل على تكريس فكرة وحدة ال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شعب وفكرة الوطن عبر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التاريخ،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لا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وعي غير الوعي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الديني."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المؤرخ الجزائري "مبارك </w:t>
      </w:r>
      <w:proofErr w:type="spellStart"/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>الميلي"</w:t>
      </w:r>
      <w:proofErr w:type="spellEnd"/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اعتبره مؤرخا في خدمة ال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دول البربرية القائمة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المرينية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>الزيانية</w:t>
      </w:r>
      <w:proofErr w:type="spellEnd"/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 </w:t>
      </w:r>
      <w:proofErr w:type="spellStart"/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>الخصوص،</w:t>
      </w:r>
      <w:proofErr w:type="spellEnd"/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لأنه هاجم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>الهلاليين ونعتهم بالفساد والخراب</w:t>
      </w:r>
      <w:r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1"/>
      </w:r>
      <w:proofErr w:type="spellStart"/>
      <w:r w:rsidRPr="00F474A4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  <w:proofErr w:type="spellEnd"/>
      <w:r w:rsidRPr="00F474A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</w:p>
    <w:p w:rsidR="00E5487A" w:rsidRDefault="00E5487A" w:rsidP="00E5487A">
      <w:pPr>
        <w:bidi/>
        <w:spacing w:line="360" w:lineRule="auto"/>
        <w:ind w:left="36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E5487A" w:rsidRDefault="00E5487A" w:rsidP="00E5487A">
      <w:pPr>
        <w:bidi/>
        <w:spacing w:line="360" w:lineRule="auto"/>
        <w:ind w:left="36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E5487A" w:rsidRDefault="00E5487A" w:rsidP="00E5487A">
      <w:pPr>
        <w:bidi/>
        <w:spacing w:line="360" w:lineRule="auto"/>
        <w:ind w:left="36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E5487A" w:rsidRDefault="00E5487A" w:rsidP="00E5487A">
      <w:pPr>
        <w:bidi/>
        <w:spacing w:line="360" w:lineRule="auto"/>
        <w:ind w:left="36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E5487A" w:rsidRDefault="00E5487A" w:rsidP="00E5487A">
      <w:pPr>
        <w:bidi/>
        <w:spacing w:line="360" w:lineRule="auto"/>
        <w:ind w:left="36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E5487A" w:rsidRDefault="00E5487A" w:rsidP="00E5487A">
      <w:pPr>
        <w:bidi/>
        <w:spacing w:line="360" w:lineRule="auto"/>
        <w:ind w:left="36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E5487A" w:rsidRDefault="00E5487A" w:rsidP="00E5487A">
      <w:pPr>
        <w:bidi/>
        <w:spacing w:line="360" w:lineRule="auto"/>
        <w:ind w:left="36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E5487A" w:rsidRDefault="00E5487A" w:rsidP="00E5487A">
      <w:pPr>
        <w:bidi/>
        <w:spacing w:line="360" w:lineRule="auto"/>
        <w:ind w:left="36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E5487A" w:rsidRPr="00E5487A" w:rsidRDefault="00E5487A" w:rsidP="00E5487A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EF21FA" w:rsidRPr="00B13E03" w:rsidRDefault="00EF21FA" w:rsidP="00B13E03">
      <w:pPr>
        <w:tabs>
          <w:tab w:val="left" w:pos="1635"/>
        </w:tabs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sectPr w:rsidR="00EF21FA" w:rsidRPr="00B13E03" w:rsidSect="00EF21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56" w:rsidRDefault="00542E56" w:rsidP="00B13E03">
      <w:pPr>
        <w:spacing w:after="0" w:line="240" w:lineRule="auto"/>
      </w:pPr>
      <w:r>
        <w:separator/>
      </w:r>
    </w:p>
  </w:endnote>
  <w:endnote w:type="continuationSeparator" w:id="0">
    <w:p w:rsidR="00542E56" w:rsidRDefault="00542E56" w:rsidP="00B1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56" w:rsidRDefault="00542E56" w:rsidP="00B13E03">
      <w:pPr>
        <w:spacing w:after="0" w:line="240" w:lineRule="auto"/>
      </w:pPr>
      <w:r>
        <w:separator/>
      </w:r>
    </w:p>
  </w:footnote>
  <w:footnote w:type="continuationSeparator" w:id="0">
    <w:p w:rsidR="00542E56" w:rsidRDefault="00542E56" w:rsidP="00B13E03">
      <w:pPr>
        <w:spacing w:after="0" w:line="240" w:lineRule="auto"/>
      </w:pPr>
      <w:r>
        <w:continuationSeparator/>
      </w:r>
    </w:p>
  </w:footnote>
  <w:footnote w:id="1">
    <w:p w:rsidR="00E5487A" w:rsidRPr="00F305B5" w:rsidRDefault="00E5487A" w:rsidP="00E5487A">
      <w:pPr>
        <w:pStyle w:val="Notedebasdepage"/>
        <w:bidi/>
        <w:rPr>
          <w:rtl/>
          <w:lang w:bidi="ar-DZ"/>
        </w:rPr>
      </w:pPr>
      <w:r w:rsidRPr="00F305B5">
        <w:rPr>
          <w:rStyle w:val="Appelnotedebasdep"/>
        </w:rPr>
        <w:footnoteRef/>
      </w:r>
      <w:r w:rsidRPr="00F305B5">
        <w:t xml:space="preserve"> </w:t>
      </w:r>
      <w:r>
        <w:rPr>
          <w:rFonts w:hint="cs"/>
          <w:rtl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محمد </w:t>
      </w:r>
      <w:proofErr w:type="spellStart"/>
      <w:r>
        <w:rPr>
          <w:rFonts w:ascii="Simplified Arabic" w:hAnsi="Simplified Arabic" w:cs="Simplified Arabic"/>
          <w:sz w:val="24"/>
          <w:szCs w:val="24"/>
          <w:rtl/>
          <w:lang w:bidi="ar-DZ"/>
        </w:rPr>
        <w:t>غالم،</w:t>
      </w:r>
      <w:proofErr w:type="spellEnd"/>
      <w:r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مقال "المؤرخون الجزائريون والمرجعية </w:t>
      </w:r>
      <w:proofErr w:type="spellStart"/>
      <w:r>
        <w:rPr>
          <w:rFonts w:ascii="Simplified Arabic" w:hAnsi="Simplified Arabic" w:cs="Simplified Arabic"/>
          <w:sz w:val="24"/>
          <w:szCs w:val="24"/>
          <w:rtl/>
          <w:lang w:bidi="ar-DZ"/>
        </w:rPr>
        <w:t>الخلدونية"</w:t>
      </w:r>
      <w:proofErr w:type="spellEnd"/>
      <w:r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مجلة </w:t>
      </w:r>
      <w:proofErr w:type="spellStart"/>
      <w:r>
        <w:rPr>
          <w:rFonts w:ascii="Simplified Arabic" w:hAnsi="Simplified Arabic" w:cs="Simplified Arabic"/>
          <w:sz w:val="24"/>
          <w:szCs w:val="24"/>
          <w:rtl/>
          <w:lang w:bidi="ar-DZ"/>
        </w:rPr>
        <w:t>"إنسانيات"</w:t>
      </w:r>
      <w:proofErr w:type="spellEnd"/>
      <w:r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عدد مزدوج </w:t>
      </w:r>
      <w:proofErr w:type="spellStart"/>
      <w:r>
        <w:rPr>
          <w:rFonts w:ascii="Simplified Arabic" w:hAnsi="Simplified Arabic" w:cs="Simplified Arabic"/>
          <w:sz w:val="24"/>
          <w:szCs w:val="24"/>
          <w:rtl/>
          <w:lang w:bidi="ar-DZ"/>
        </w:rPr>
        <w:t>65،66،</w:t>
      </w:r>
      <w:proofErr w:type="spellEnd"/>
      <w:r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4"/>
          <w:szCs w:val="24"/>
          <w:rtl/>
          <w:lang w:bidi="ar-DZ"/>
        </w:rPr>
        <w:t>جويلية</w:t>
      </w:r>
      <w:proofErr w:type="spellEnd"/>
      <w:r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-ديسمبر </w:t>
      </w:r>
      <w:proofErr w:type="spellStart"/>
      <w:r>
        <w:rPr>
          <w:rFonts w:ascii="Simplified Arabic" w:hAnsi="Simplified Arabic" w:cs="Simplified Arabic"/>
          <w:sz w:val="24"/>
          <w:szCs w:val="24"/>
          <w:rtl/>
          <w:lang w:bidi="ar-DZ"/>
        </w:rPr>
        <w:t>2014،</w:t>
      </w:r>
      <w:proofErr w:type="spellEnd"/>
      <w:r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4"/>
          <w:szCs w:val="24"/>
          <w:rtl/>
          <w:lang w:bidi="ar-DZ"/>
        </w:rPr>
        <w:t>ص20</w:t>
      </w:r>
      <w:proofErr w:type="spellEnd"/>
      <w:r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03" w:rsidRPr="006C4DDF" w:rsidRDefault="00B13E03" w:rsidP="00EF572F">
    <w:pPr>
      <w:pStyle w:val="En-tte"/>
      <w:pBdr>
        <w:bottom w:val="single" w:sz="36" w:space="1" w:color="000000" w:themeColor="text1"/>
      </w:pBdr>
      <w:rPr>
        <w:rFonts w:ascii="Arabic Typesetting" w:hAnsi="Arabic Typesetting" w:cs="Arabic Typesetting"/>
        <w:b/>
        <w:bCs/>
        <w:sz w:val="36"/>
        <w:szCs w:val="36"/>
        <w:lang w:bidi="ar-DZ"/>
      </w:rPr>
    </w:pPr>
    <w:r w:rsidRPr="006C4DDF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 xml:space="preserve">مقياس الفكر الخلدوني                                          </w:t>
    </w:r>
    <w:r w:rsidRPr="006C4DDF">
      <w:rPr>
        <w:rFonts w:ascii="Arabic Typesetting" w:hAnsi="Arabic Typesetting" w:cs="Arabic Typesetting" w:hint="cs"/>
        <w:b/>
        <w:bCs/>
        <w:sz w:val="36"/>
        <w:szCs w:val="36"/>
        <w:rtl/>
        <w:lang w:bidi="ar-DZ"/>
      </w:rPr>
      <w:t xml:space="preserve">    </w:t>
    </w:r>
    <w:r w:rsidRPr="006C4DDF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 xml:space="preserve">       </w:t>
    </w:r>
    <w:r w:rsidRPr="006C4DDF">
      <w:rPr>
        <w:rFonts w:ascii="Arabic Typesetting" w:hAnsi="Arabic Typesetting" w:cs="Arabic Typesetting" w:hint="cs"/>
        <w:b/>
        <w:bCs/>
        <w:sz w:val="36"/>
        <w:szCs w:val="36"/>
        <w:rtl/>
        <w:lang w:bidi="ar-DZ"/>
      </w:rPr>
      <w:t xml:space="preserve">  </w:t>
    </w:r>
    <w:r w:rsidRPr="006C4DDF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 xml:space="preserve">                      المحاضرة </w:t>
    </w:r>
    <w:proofErr w:type="spellStart"/>
    <w:r w:rsidRPr="006C4DDF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>ا</w:t>
    </w:r>
    <w:r>
      <w:rPr>
        <w:rFonts w:ascii="Arabic Typesetting" w:hAnsi="Arabic Typesetting" w:cs="Arabic Typesetting" w:hint="cs"/>
        <w:b/>
        <w:bCs/>
        <w:sz w:val="36"/>
        <w:szCs w:val="36"/>
        <w:rtl/>
        <w:lang w:bidi="ar-DZ"/>
      </w:rPr>
      <w:t>لسا</w:t>
    </w:r>
    <w:r w:rsidR="00EF572F">
      <w:rPr>
        <w:rFonts w:ascii="Arabic Typesetting" w:hAnsi="Arabic Typesetting" w:cs="Arabic Typesetting" w:hint="cs"/>
        <w:b/>
        <w:bCs/>
        <w:sz w:val="36"/>
        <w:szCs w:val="36"/>
        <w:rtl/>
        <w:lang w:bidi="ar-DZ"/>
      </w:rPr>
      <w:t>يعة</w:t>
    </w:r>
    <w:proofErr w:type="spellEnd"/>
    <w:r w:rsidRPr="006C4DDF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 xml:space="preserve">     </w:t>
    </w:r>
  </w:p>
  <w:p w:rsidR="00B13E03" w:rsidRDefault="00B13E0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64DF6"/>
    <w:multiLevelType w:val="hybridMultilevel"/>
    <w:tmpl w:val="5100E1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1BC"/>
    <w:rsid w:val="000C7289"/>
    <w:rsid w:val="002F02D8"/>
    <w:rsid w:val="00542E56"/>
    <w:rsid w:val="0056185B"/>
    <w:rsid w:val="009C71BC"/>
    <w:rsid w:val="00B13E03"/>
    <w:rsid w:val="00C154E3"/>
    <w:rsid w:val="00E5487A"/>
    <w:rsid w:val="00EA2A61"/>
    <w:rsid w:val="00EF21FA"/>
    <w:rsid w:val="00EF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1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13E03"/>
  </w:style>
  <w:style w:type="paragraph" w:styleId="Pieddepage">
    <w:name w:val="footer"/>
    <w:basedOn w:val="Normal"/>
    <w:link w:val="PieddepageCar"/>
    <w:uiPriority w:val="99"/>
    <w:semiHidden/>
    <w:unhideWhenUsed/>
    <w:rsid w:val="00B1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3E0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48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487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5487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54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PC</dc:creator>
  <cp:keywords/>
  <dc:description/>
  <cp:lastModifiedBy>Mon PC</cp:lastModifiedBy>
  <cp:revision>5</cp:revision>
  <dcterms:created xsi:type="dcterms:W3CDTF">2021-01-16T15:29:00Z</dcterms:created>
  <dcterms:modified xsi:type="dcterms:W3CDTF">2021-12-11T14:25:00Z</dcterms:modified>
</cp:coreProperties>
</file>