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35" w:rsidRDefault="00304135" w:rsidP="00304135">
      <w:pPr>
        <w:spacing w:line="360" w:lineRule="auto"/>
        <w:jc w:val="both"/>
      </w:pPr>
      <w:r w:rsidRPr="00304135">
        <w:rPr>
          <w:b/>
          <w:bCs/>
        </w:rPr>
        <w:t>La culture in vitro</w:t>
      </w:r>
      <w:r>
        <w:t xml:space="preserve"> </w:t>
      </w:r>
    </w:p>
    <w:p w:rsidR="00304135" w:rsidRDefault="00304135" w:rsidP="00304135">
      <w:pPr>
        <w:spacing w:line="360" w:lineRule="auto"/>
        <w:jc w:val="both"/>
        <w:rPr>
          <w:rFonts w:asciiTheme="majorBidi" w:hAnsiTheme="majorBidi" w:cstheme="majorBidi"/>
        </w:rPr>
      </w:pPr>
      <w:proofErr w:type="gramStart"/>
      <w:r w:rsidRPr="00107B7E">
        <w:t>est</w:t>
      </w:r>
      <w:proofErr w:type="gramEnd"/>
      <w:r>
        <w:t xml:space="preserve"> </w:t>
      </w:r>
      <w:r w:rsidRPr="00107B7E">
        <w:t>basée</w:t>
      </w:r>
      <w:r>
        <w:t xml:space="preserve"> </w:t>
      </w:r>
      <w:r w:rsidRPr="00107B7E">
        <w:t>sur</w:t>
      </w:r>
      <w:r>
        <w:t xml:space="preserve"> </w:t>
      </w:r>
      <w:r w:rsidRPr="00107B7E">
        <w:t>la</w:t>
      </w:r>
      <w:r>
        <w:t xml:space="preserve"> </w:t>
      </w:r>
      <w:r w:rsidRPr="00107B7E">
        <w:t>mise</w:t>
      </w:r>
      <w:r>
        <w:t xml:space="preserve"> </w:t>
      </w:r>
      <w:r w:rsidRPr="00107B7E">
        <w:t>en</w:t>
      </w:r>
      <w:r>
        <w:t xml:space="preserve"> </w:t>
      </w:r>
      <w:r w:rsidRPr="00107B7E">
        <w:t>culture</w:t>
      </w:r>
      <w:r>
        <w:t xml:space="preserve"> </w:t>
      </w:r>
      <w:r w:rsidRPr="00107B7E">
        <w:t>d’explant</w:t>
      </w:r>
      <w:r>
        <w:t xml:space="preserve"> (morceau de plante) </w:t>
      </w:r>
      <w:r w:rsidRPr="00107B7E">
        <w:t>en</w:t>
      </w:r>
      <w:r>
        <w:t xml:space="preserve"> </w:t>
      </w:r>
      <w:r w:rsidRPr="00107B7E">
        <w:t>milieu</w:t>
      </w:r>
      <w:r>
        <w:t xml:space="preserve"> </w:t>
      </w:r>
      <w:r w:rsidRPr="00107B7E">
        <w:t>artificiel contrôlé,</w:t>
      </w:r>
      <w:r>
        <w:t xml:space="preserve"> </w:t>
      </w:r>
      <w:r w:rsidRPr="00107B7E">
        <w:t>à</w:t>
      </w:r>
      <w:r>
        <w:t xml:space="preserve"> </w:t>
      </w:r>
      <w:r w:rsidRPr="00107B7E">
        <w:t>l’abri</w:t>
      </w:r>
      <w:r>
        <w:t xml:space="preserve"> </w:t>
      </w:r>
      <w:r w:rsidRPr="00107B7E">
        <w:t>de</w:t>
      </w:r>
      <w:r>
        <w:t xml:space="preserve"> </w:t>
      </w:r>
      <w:r w:rsidRPr="00107B7E">
        <w:t>toutes</w:t>
      </w:r>
      <w:r>
        <w:t xml:space="preserve"> </w:t>
      </w:r>
      <w:r w:rsidRPr="00107B7E">
        <w:t>contaminations</w:t>
      </w:r>
      <w:r>
        <w:t xml:space="preserve"> </w:t>
      </w:r>
      <w:r w:rsidRPr="00107B7E">
        <w:t>(en</w:t>
      </w:r>
      <w:r>
        <w:t xml:space="preserve"> </w:t>
      </w:r>
      <w:proofErr w:type="spellStart"/>
      <w:r w:rsidRPr="00107B7E">
        <w:t>axénie</w:t>
      </w:r>
      <w:proofErr w:type="spellEnd"/>
      <w:r w:rsidRPr="00107B7E">
        <w:t>: exempt de tous germes saprophytes ou pathogènes).</w:t>
      </w:r>
      <w:r>
        <w:t xml:space="preserve"> </w:t>
      </w:r>
      <w:r w:rsidRPr="00107B7E">
        <w:t>Le</w:t>
      </w:r>
      <w:r>
        <w:t xml:space="preserve"> </w:t>
      </w:r>
      <w:r w:rsidRPr="00107B7E">
        <w:t>but</w:t>
      </w:r>
      <w:r>
        <w:t xml:space="preserve"> </w:t>
      </w:r>
      <w:r w:rsidRPr="00107B7E">
        <w:t>de</w:t>
      </w:r>
      <w:r>
        <w:t xml:space="preserve"> </w:t>
      </w:r>
      <w:r w:rsidRPr="00107B7E">
        <w:t>la</w:t>
      </w:r>
      <w:r>
        <w:t xml:space="preserve"> </w:t>
      </w:r>
      <w:r w:rsidRPr="00107B7E">
        <w:t>culture</w:t>
      </w:r>
      <w:r>
        <w:t xml:space="preserve"> </w:t>
      </w:r>
      <w:r w:rsidRPr="00107B7E">
        <w:t>in</w:t>
      </w:r>
      <w:r>
        <w:t xml:space="preserve"> </w:t>
      </w:r>
      <w:r w:rsidRPr="00107B7E">
        <w:t>vitro</w:t>
      </w:r>
      <w:r>
        <w:t xml:space="preserve"> </w:t>
      </w:r>
      <w:r w:rsidRPr="00107B7E">
        <w:t>est</w:t>
      </w:r>
      <w:r>
        <w:t xml:space="preserve"> </w:t>
      </w:r>
      <w:r w:rsidRPr="00107B7E">
        <w:t>de permettre la régénération de la plante entière autonome et fertile.</w:t>
      </w:r>
      <w:r>
        <w:t xml:space="preserve"> </w:t>
      </w:r>
      <w:r w:rsidRPr="00B144A1">
        <w:rPr>
          <w:rFonts w:asciiTheme="majorBidi" w:hAnsiTheme="majorBidi" w:cstheme="majorBidi"/>
        </w:rPr>
        <w:t>Les cultures in vitro de</w:t>
      </w:r>
      <w:r>
        <w:rPr>
          <w:rFonts w:asciiTheme="majorBidi" w:hAnsiTheme="majorBidi" w:cstheme="majorBidi"/>
        </w:rPr>
        <w:t>s</w:t>
      </w:r>
      <w:r w:rsidRPr="00B144A1">
        <w:rPr>
          <w:rFonts w:asciiTheme="majorBidi" w:hAnsiTheme="majorBidi" w:cstheme="majorBidi"/>
        </w:rPr>
        <w:t xml:space="preserve"> plantes sont des cultures d'explants de plantes, sur un milieu nutritif </w:t>
      </w:r>
      <w:proofErr w:type="gramStart"/>
      <w:r w:rsidRPr="00B144A1">
        <w:rPr>
          <w:rFonts w:asciiTheme="majorBidi" w:hAnsiTheme="majorBidi" w:cstheme="majorBidi"/>
        </w:rPr>
        <w:t>artificiel,  en</w:t>
      </w:r>
      <w:proofErr w:type="gramEnd"/>
      <w:r w:rsidRPr="00B144A1">
        <w:rPr>
          <w:rFonts w:asciiTheme="majorBidi" w:hAnsiTheme="majorBidi" w:cstheme="majorBidi"/>
        </w:rPr>
        <w:t xml:space="preserve">  conditions  stériles,  dans  un  environnement  contrôlé  et  dans  un  espace  réduit. </w:t>
      </w:r>
      <w:bookmarkStart w:id="0" w:name="_GoBack"/>
      <w:bookmarkEnd w:id="0"/>
    </w:p>
    <w:p w:rsidR="00304135" w:rsidRPr="00CA0CE4" w:rsidRDefault="00304135" w:rsidP="00304135">
      <w:pPr>
        <w:spacing w:line="360" w:lineRule="auto"/>
        <w:jc w:val="both"/>
      </w:pPr>
      <w:r w:rsidRPr="00CA0CE4">
        <w:rPr>
          <w:b/>
          <w:bCs/>
        </w:rPr>
        <w:t>Aspects techniques</w:t>
      </w:r>
    </w:p>
    <w:p w:rsidR="00304135" w:rsidRPr="00CA0CE4" w:rsidRDefault="00304135" w:rsidP="00304135">
      <w:pPr>
        <w:numPr>
          <w:ilvl w:val="1"/>
          <w:numId w:val="4"/>
        </w:numPr>
        <w:spacing w:line="360" w:lineRule="auto"/>
        <w:jc w:val="both"/>
        <w:rPr>
          <w:b/>
          <w:bCs/>
        </w:rPr>
      </w:pPr>
      <w:r w:rsidRPr="00CA0CE4">
        <w:rPr>
          <w:b/>
          <w:bCs/>
        </w:rPr>
        <w:t>Facteurs d’environnements</w:t>
      </w:r>
    </w:p>
    <w:p w:rsidR="00304135" w:rsidRDefault="00304135" w:rsidP="00304135">
      <w:pPr>
        <w:spacing w:line="360" w:lineRule="auto"/>
        <w:jc w:val="both"/>
      </w:pPr>
      <w:r w:rsidRPr="00107B7E">
        <w:t>Les</w:t>
      </w:r>
      <w:r>
        <w:t xml:space="preserve"> </w:t>
      </w:r>
      <w:r w:rsidRPr="00107B7E">
        <w:t>conditions</w:t>
      </w:r>
      <w:r>
        <w:t xml:space="preserve"> </w:t>
      </w:r>
      <w:r w:rsidRPr="00107B7E">
        <w:t>stériles</w:t>
      </w:r>
      <w:r>
        <w:t xml:space="preserve"> </w:t>
      </w:r>
      <w:r w:rsidRPr="00107B7E">
        <w:t>ou</w:t>
      </w:r>
      <w:r>
        <w:t xml:space="preserve"> </w:t>
      </w:r>
      <w:r w:rsidRPr="00107B7E">
        <w:t xml:space="preserve">d'asepsie </w:t>
      </w:r>
    </w:p>
    <w:p w:rsidR="00304135" w:rsidRDefault="00304135" w:rsidP="00304135">
      <w:pPr>
        <w:spacing w:line="360" w:lineRule="auto"/>
        <w:jc w:val="both"/>
      </w:pPr>
      <w:r w:rsidRPr="00107B7E">
        <w:t>Températures: 22-</w:t>
      </w:r>
      <w:smartTag w:uri="urn:schemas-microsoft-com:office:smarttags" w:element="metricconverter">
        <w:smartTagPr>
          <w:attr w:name="ProductID" w:val="26ﾰC"/>
        </w:smartTagPr>
        <w:r w:rsidRPr="00107B7E">
          <w:t>26°C</w:t>
        </w:r>
      </w:smartTag>
      <w:r w:rsidRPr="00107B7E">
        <w:t>;</w:t>
      </w:r>
    </w:p>
    <w:p w:rsidR="00304135" w:rsidRPr="00107B7E" w:rsidRDefault="00304135" w:rsidP="00304135">
      <w:pPr>
        <w:spacing w:line="360" w:lineRule="auto"/>
        <w:jc w:val="both"/>
      </w:pPr>
      <w:r w:rsidRPr="00107B7E">
        <w:t>Photopériode longue 16h;</w:t>
      </w:r>
    </w:p>
    <w:p w:rsidR="00304135" w:rsidRPr="00107B7E" w:rsidRDefault="00304135" w:rsidP="00304135">
      <w:pPr>
        <w:spacing w:line="360" w:lineRule="auto"/>
        <w:jc w:val="both"/>
      </w:pPr>
      <w:r w:rsidRPr="00107B7E">
        <w:t>Intensité lumineuse: 2000-6000 lux</w:t>
      </w:r>
    </w:p>
    <w:p w:rsidR="00304135" w:rsidRPr="00107B7E" w:rsidRDefault="00304135" w:rsidP="00304135">
      <w:pPr>
        <w:spacing w:line="360" w:lineRule="auto"/>
        <w:jc w:val="both"/>
      </w:pPr>
    </w:p>
    <w:p w:rsidR="00304135" w:rsidRPr="00304135" w:rsidRDefault="00304135" w:rsidP="00304135">
      <w:pPr>
        <w:spacing w:line="360" w:lineRule="auto"/>
        <w:jc w:val="both"/>
        <w:rPr>
          <w:b/>
          <w:bCs/>
        </w:rPr>
      </w:pPr>
      <w:r w:rsidRPr="00304135">
        <w:rPr>
          <w:b/>
          <w:bCs/>
        </w:rPr>
        <w:t>Milieu de culture synthétique:</w:t>
      </w:r>
    </w:p>
    <w:p w:rsidR="00304135" w:rsidRPr="00107B7E" w:rsidRDefault="00304135" w:rsidP="00304135">
      <w:pPr>
        <w:spacing w:line="360" w:lineRule="auto"/>
        <w:jc w:val="both"/>
      </w:pPr>
      <w:r w:rsidRPr="00107B7E">
        <w:t>• Eau à 95 %</w:t>
      </w:r>
      <w:r w:rsidRPr="00107B7E">
        <w:tab/>
      </w:r>
      <w:r w:rsidRPr="00107B7E">
        <w:tab/>
      </w:r>
      <w:r w:rsidRPr="00107B7E">
        <w:tab/>
        <w:t>• Eléments minéraux (sels)</w:t>
      </w:r>
      <w:r w:rsidRPr="00107B7E">
        <w:tab/>
      </w:r>
    </w:p>
    <w:p w:rsidR="00304135" w:rsidRPr="00107B7E" w:rsidRDefault="00304135" w:rsidP="00304135">
      <w:pPr>
        <w:spacing w:line="360" w:lineRule="auto"/>
        <w:jc w:val="both"/>
      </w:pPr>
      <w:r w:rsidRPr="00107B7E">
        <w:t>• « Vitamines »</w:t>
      </w:r>
      <w:r w:rsidRPr="00107B7E">
        <w:tab/>
      </w:r>
      <w:r w:rsidRPr="00107B7E">
        <w:tab/>
        <w:t>• Source carbonée</w:t>
      </w:r>
    </w:p>
    <w:p w:rsidR="00304135" w:rsidRPr="00107B7E" w:rsidRDefault="00304135" w:rsidP="00304135">
      <w:pPr>
        <w:spacing w:line="360" w:lineRule="auto"/>
        <w:jc w:val="both"/>
      </w:pPr>
      <w:r w:rsidRPr="00107B7E">
        <w:t>• Phytohormones (régulateurs de croissance) - pH</w:t>
      </w:r>
      <w:r>
        <w:t xml:space="preserve"> </w:t>
      </w:r>
      <w:r w:rsidRPr="00107B7E">
        <w:t>entre 5-6</w:t>
      </w:r>
    </w:p>
    <w:p w:rsidR="00304135" w:rsidRDefault="00304135" w:rsidP="00304135">
      <w:pPr>
        <w:spacing w:line="360" w:lineRule="auto"/>
        <w:jc w:val="both"/>
      </w:pPr>
      <w:r w:rsidRPr="00107B7E">
        <w:t>• Agent de solidification:</w:t>
      </w:r>
      <w:r>
        <w:t xml:space="preserve"> </w:t>
      </w:r>
      <w:r w:rsidRPr="00107B7E">
        <w:t xml:space="preserve">avec l’agar (gélifiant): pour éviter que les explants ne tombent au fond des récipients et s’asphyxient </w:t>
      </w:r>
    </w:p>
    <w:p w:rsidR="00304135" w:rsidRPr="00107B7E" w:rsidRDefault="00304135" w:rsidP="00304135">
      <w:pPr>
        <w:spacing w:line="360" w:lineRule="auto"/>
        <w:jc w:val="both"/>
      </w:pPr>
      <w:proofErr w:type="spellStart"/>
      <w:r w:rsidRPr="00304135">
        <w:rPr>
          <w:b/>
          <w:bCs/>
        </w:rPr>
        <w:t>Murashige</w:t>
      </w:r>
      <w:proofErr w:type="spellEnd"/>
      <w:r w:rsidRPr="00304135">
        <w:rPr>
          <w:b/>
          <w:bCs/>
        </w:rPr>
        <w:t xml:space="preserve"> et </w:t>
      </w:r>
      <w:proofErr w:type="spellStart"/>
      <w:r w:rsidRPr="00304135">
        <w:rPr>
          <w:b/>
          <w:bCs/>
        </w:rPr>
        <w:t>Skoog</w:t>
      </w:r>
      <w:proofErr w:type="spellEnd"/>
      <w:r w:rsidRPr="00304135">
        <w:rPr>
          <w:b/>
          <w:bCs/>
        </w:rPr>
        <w:t xml:space="preserve"> (1962)</w:t>
      </w:r>
      <w:r w:rsidRPr="00107B7E">
        <w:t xml:space="preserve"> - Mise au point d’un milieu de culture (MS). </w:t>
      </w:r>
      <w:proofErr w:type="gramStart"/>
      <w:r w:rsidRPr="00107B7E">
        <w:t>renouvelé</w:t>
      </w:r>
      <w:proofErr w:type="gramEnd"/>
      <w:r w:rsidRPr="00107B7E">
        <w:t xml:space="preserve"> de 4</w:t>
      </w:r>
      <w:r>
        <w:t xml:space="preserve"> </w:t>
      </w:r>
      <w:r w:rsidRPr="00107B7E">
        <w:t>à</w:t>
      </w:r>
      <w:r>
        <w:t xml:space="preserve"> </w:t>
      </w:r>
      <w:r w:rsidRPr="00107B7E">
        <w:t>5</w:t>
      </w:r>
      <w:r>
        <w:t xml:space="preserve"> </w:t>
      </w:r>
      <w:r w:rsidRPr="00107B7E">
        <w:t>semaines</w:t>
      </w:r>
      <w:r>
        <w:t xml:space="preserve"> </w:t>
      </w:r>
      <w:r w:rsidRPr="00107B7E">
        <w:t>pour</w:t>
      </w:r>
      <w:r>
        <w:t xml:space="preserve"> </w:t>
      </w:r>
      <w:r w:rsidRPr="00107B7E">
        <w:t>un développement optimale.</w:t>
      </w:r>
    </w:p>
    <w:p w:rsidR="00304135" w:rsidRDefault="00304135" w:rsidP="00304135">
      <w:pPr>
        <w:spacing w:line="360" w:lineRule="auto"/>
        <w:jc w:val="both"/>
      </w:pPr>
      <w:r>
        <w:t xml:space="preserve">Le milieu de </w:t>
      </w:r>
      <w:proofErr w:type="spellStart"/>
      <w:r>
        <w:t>Murashige</w:t>
      </w:r>
      <w:proofErr w:type="spellEnd"/>
      <w:r>
        <w:t xml:space="preserve"> et </w:t>
      </w:r>
      <w:proofErr w:type="spellStart"/>
      <w:r>
        <w:t>Skoog</w:t>
      </w:r>
      <w:proofErr w:type="spellEnd"/>
      <w:r>
        <w:t xml:space="preserve"> (ou Milieu MS ou MSO) est un milieu de culture utilisé dans les laboratoires de biologie végétale pour la culture de cellules ou de tissus de plantes. Le milieu MS a été mis au point par les physiologistes végétalistes Toshio </w:t>
      </w:r>
      <w:proofErr w:type="spellStart"/>
      <w:r>
        <w:t>Murashige</w:t>
      </w:r>
      <w:proofErr w:type="spellEnd"/>
      <w:r>
        <w:t xml:space="preserve"> et </w:t>
      </w:r>
      <w:proofErr w:type="spellStart"/>
      <w:r>
        <w:t>Folke</w:t>
      </w:r>
      <w:proofErr w:type="spellEnd"/>
      <w:r>
        <w:t xml:space="preserve"> K </w:t>
      </w:r>
      <w:proofErr w:type="spellStart"/>
      <w:r>
        <w:t>Skoog</w:t>
      </w:r>
      <w:proofErr w:type="spellEnd"/>
      <w:r>
        <w:t xml:space="preserve"> alors que </w:t>
      </w:r>
      <w:proofErr w:type="spellStart"/>
      <w:r>
        <w:t>Murashige</w:t>
      </w:r>
      <w:proofErr w:type="spellEnd"/>
      <w:r>
        <w:t xml:space="preserve"> effectuait des recherches </w:t>
      </w:r>
      <w:proofErr w:type="spellStart"/>
      <w:r>
        <w:t>pourtrouver</w:t>
      </w:r>
      <w:proofErr w:type="spellEnd"/>
      <w:r>
        <w:t xml:space="preserve"> un nouveau régulateur de croissance chez le tabac.</w:t>
      </w:r>
    </w:p>
    <w:p w:rsidR="00304135" w:rsidRPr="000D418F" w:rsidRDefault="00304135" w:rsidP="00304135">
      <w:pPr>
        <w:spacing w:line="360" w:lineRule="auto"/>
        <w:jc w:val="both"/>
        <w:rPr>
          <w:b/>
          <w:bCs/>
        </w:rPr>
      </w:pPr>
      <w:r w:rsidRPr="000D418F">
        <w:rPr>
          <w:b/>
          <w:bCs/>
        </w:rPr>
        <w:t>Composition du milieu de culture</w:t>
      </w:r>
    </w:p>
    <w:p w:rsidR="00304135" w:rsidRPr="00107B7E" w:rsidRDefault="00304135" w:rsidP="00304135">
      <w:pPr>
        <w:spacing w:line="360" w:lineRule="auto"/>
        <w:jc w:val="both"/>
      </w:pPr>
      <w:r w:rsidRPr="00107B7E">
        <w:t xml:space="preserve">A) </w:t>
      </w:r>
      <w:r w:rsidRPr="00E9578E">
        <w:rPr>
          <w:b/>
          <w:bCs/>
          <w:i/>
          <w:iCs/>
        </w:rPr>
        <w:t>Les éléments minéraux</w:t>
      </w:r>
      <w:r w:rsidRPr="00107B7E">
        <w:t xml:space="preserve"> :</w:t>
      </w:r>
    </w:p>
    <w:p w:rsidR="00304135" w:rsidRPr="00E9578E" w:rsidRDefault="00304135" w:rsidP="00304135">
      <w:pPr>
        <w:spacing w:line="360" w:lineRule="auto"/>
        <w:jc w:val="both"/>
        <w:rPr>
          <w:b/>
          <w:bCs/>
          <w:i/>
          <w:iCs/>
        </w:rPr>
      </w:pPr>
      <w:proofErr w:type="gramStart"/>
      <w:r w:rsidRPr="00107B7E">
        <w:t>macroéléments</w:t>
      </w:r>
      <w:proofErr w:type="gramEnd"/>
      <w:r w:rsidRPr="00107B7E">
        <w:t xml:space="preserve"> </w:t>
      </w:r>
      <w:r>
        <w:t xml:space="preserve">et </w:t>
      </w:r>
      <w:r w:rsidRPr="00E9578E">
        <w:rPr>
          <w:b/>
          <w:bCs/>
          <w:i/>
          <w:iCs/>
        </w:rPr>
        <w:t xml:space="preserve"> Les microéléments :</w:t>
      </w:r>
    </w:p>
    <w:p w:rsidR="00304135" w:rsidRPr="00107B7E" w:rsidRDefault="00304135" w:rsidP="00304135">
      <w:pPr>
        <w:spacing w:line="360" w:lineRule="auto"/>
        <w:jc w:val="both"/>
      </w:pPr>
      <w:r w:rsidRPr="00107B7E">
        <w:t>B) Les éléments organiques :</w:t>
      </w:r>
    </w:p>
    <w:p w:rsidR="00304135" w:rsidRPr="00107B7E" w:rsidRDefault="00304135" w:rsidP="00304135">
      <w:pPr>
        <w:spacing w:line="360" w:lineRule="auto"/>
        <w:jc w:val="both"/>
      </w:pPr>
      <w:r w:rsidRPr="00E9578E">
        <w:rPr>
          <w:b/>
          <w:bCs/>
          <w:i/>
          <w:iCs/>
        </w:rPr>
        <w:t>Les sucres</w:t>
      </w:r>
      <w:r w:rsidRPr="00107B7E">
        <w:t xml:space="preserve"> :</w:t>
      </w:r>
    </w:p>
    <w:p w:rsidR="00304135" w:rsidRPr="00107B7E" w:rsidRDefault="00304135" w:rsidP="00304135">
      <w:pPr>
        <w:spacing w:line="360" w:lineRule="auto"/>
        <w:jc w:val="both"/>
      </w:pPr>
      <w:r w:rsidRPr="00107B7E">
        <w:t>Dans</w:t>
      </w:r>
      <w:r>
        <w:t xml:space="preserve"> </w:t>
      </w:r>
      <w:r w:rsidRPr="00107B7E">
        <w:t>le</w:t>
      </w:r>
      <w:r>
        <w:t xml:space="preserve"> </w:t>
      </w:r>
      <w:r w:rsidRPr="00107B7E">
        <w:t>cas</w:t>
      </w:r>
      <w:r>
        <w:t xml:space="preserve"> </w:t>
      </w:r>
      <w:r w:rsidRPr="00107B7E">
        <w:t>de</w:t>
      </w:r>
      <w:r>
        <w:t xml:space="preserve"> </w:t>
      </w:r>
      <w:r w:rsidRPr="00107B7E">
        <w:t>tissus</w:t>
      </w:r>
      <w:r>
        <w:t xml:space="preserve"> </w:t>
      </w:r>
      <w:r w:rsidRPr="00107B7E">
        <w:t>végétaux</w:t>
      </w:r>
      <w:r>
        <w:t xml:space="preserve"> </w:t>
      </w:r>
      <w:r w:rsidRPr="00107B7E">
        <w:t>placés</w:t>
      </w:r>
      <w:r>
        <w:t xml:space="preserve"> </w:t>
      </w:r>
      <w:r w:rsidRPr="00107B7E">
        <w:t>en</w:t>
      </w:r>
      <w:r>
        <w:t xml:space="preserve"> </w:t>
      </w:r>
      <w:r w:rsidRPr="00107B7E">
        <w:t>culture</w:t>
      </w:r>
      <w:r>
        <w:t xml:space="preserve"> </w:t>
      </w:r>
      <w:r w:rsidRPr="00107B7E">
        <w:t>in</w:t>
      </w:r>
      <w:r>
        <w:t xml:space="preserve"> </w:t>
      </w:r>
      <w:r w:rsidRPr="00107B7E">
        <w:t>vitro,</w:t>
      </w:r>
      <w:r>
        <w:t xml:space="preserve"> </w:t>
      </w:r>
      <w:r w:rsidRPr="00107B7E">
        <w:t>l'assimilation chlorophyllienne est nulle ou insuffisante pour assurer la survie et le développement de l'explant. Dès lors, on ajoute des sucres, le plus souvent du saccharose ou glucose, aux milieux de culture pour</w:t>
      </w:r>
      <w:r>
        <w:t xml:space="preserve"> </w:t>
      </w:r>
      <w:r w:rsidRPr="00107B7E">
        <w:t>fournir</w:t>
      </w:r>
      <w:r>
        <w:t xml:space="preserve"> </w:t>
      </w:r>
      <w:r w:rsidRPr="00107B7E">
        <w:t>à</w:t>
      </w:r>
      <w:r>
        <w:t xml:space="preserve"> </w:t>
      </w:r>
      <w:r w:rsidRPr="00107B7E">
        <w:t>l'explant</w:t>
      </w:r>
      <w:r>
        <w:t xml:space="preserve"> </w:t>
      </w:r>
      <w:r w:rsidRPr="00107B7E">
        <w:t>une</w:t>
      </w:r>
      <w:r>
        <w:t xml:space="preserve"> </w:t>
      </w:r>
      <w:r w:rsidRPr="00107B7E">
        <w:t>source</w:t>
      </w:r>
      <w:r>
        <w:t xml:space="preserve"> </w:t>
      </w:r>
      <w:r w:rsidRPr="00107B7E">
        <w:t>de</w:t>
      </w:r>
      <w:r>
        <w:t xml:space="preserve"> </w:t>
      </w:r>
      <w:r w:rsidRPr="00107B7E">
        <w:t>carbone.</w:t>
      </w:r>
      <w:r>
        <w:t xml:space="preserve"> </w:t>
      </w:r>
      <w:r w:rsidRPr="00107B7E">
        <w:t>Concentrations : 20-30g/l.</w:t>
      </w:r>
    </w:p>
    <w:p w:rsidR="00304135" w:rsidRPr="00107B7E" w:rsidRDefault="00304135" w:rsidP="00304135">
      <w:pPr>
        <w:spacing w:line="360" w:lineRule="auto"/>
        <w:jc w:val="both"/>
      </w:pPr>
      <w:proofErr w:type="gramStart"/>
      <w:r w:rsidRPr="006D23C1">
        <w:rPr>
          <w:b/>
          <w:bCs/>
          <w:i/>
          <w:iCs/>
        </w:rPr>
        <w:t>les</w:t>
      </w:r>
      <w:proofErr w:type="gramEnd"/>
      <w:r w:rsidRPr="006D23C1">
        <w:rPr>
          <w:b/>
          <w:bCs/>
          <w:i/>
          <w:iCs/>
        </w:rPr>
        <w:t xml:space="preserve"> vitamines</w:t>
      </w:r>
      <w:r w:rsidRPr="00107B7E">
        <w:t xml:space="preserve"> :</w:t>
      </w:r>
    </w:p>
    <w:p w:rsidR="00304135" w:rsidRPr="00107B7E" w:rsidRDefault="00304135" w:rsidP="00304135">
      <w:pPr>
        <w:spacing w:line="360" w:lineRule="auto"/>
        <w:jc w:val="both"/>
      </w:pPr>
      <w:r w:rsidRPr="00304135">
        <w:rPr>
          <w:b/>
          <w:bCs/>
        </w:rPr>
        <w:lastRenderedPageBreak/>
        <w:t>Les acides aminé</w:t>
      </w:r>
      <w:r w:rsidRPr="00107B7E">
        <w:t>s : ou acides organiques ou composé indéfini comme le lait de coco</w:t>
      </w:r>
      <w:proofErr w:type="gramStart"/>
      <w:r w:rsidRPr="00107B7E">
        <w:t xml:space="preserve"> ….</w:t>
      </w:r>
      <w:proofErr w:type="gramEnd"/>
      <w:r w:rsidRPr="00107B7E">
        <w:t>.</w:t>
      </w:r>
    </w:p>
    <w:p w:rsidR="00304135" w:rsidRPr="00107B7E" w:rsidRDefault="00304135" w:rsidP="00304135">
      <w:pPr>
        <w:spacing w:line="360" w:lineRule="auto"/>
        <w:jc w:val="both"/>
      </w:pPr>
      <w:r w:rsidRPr="00107B7E">
        <w:t xml:space="preserve">C) </w:t>
      </w:r>
      <w:r w:rsidRPr="006D23C1">
        <w:rPr>
          <w:b/>
          <w:bCs/>
          <w:i/>
          <w:iCs/>
        </w:rPr>
        <w:t>les régulateurs de croissance</w:t>
      </w:r>
      <w:r w:rsidRPr="00107B7E">
        <w:t>.</w:t>
      </w:r>
    </w:p>
    <w:p w:rsidR="00304135" w:rsidRPr="00107B7E" w:rsidRDefault="00304135" w:rsidP="00304135">
      <w:pPr>
        <w:spacing w:line="360" w:lineRule="auto"/>
        <w:jc w:val="both"/>
      </w:pPr>
      <w:r w:rsidRPr="00107B7E">
        <w:t>Appelés</w:t>
      </w:r>
      <w:r>
        <w:t xml:space="preserve"> </w:t>
      </w:r>
      <w:r w:rsidRPr="00107B7E">
        <w:t>généralement</w:t>
      </w:r>
      <w:r>
        <w:t xml:space="preserve"> </w:t>
      </w:r>
      <w:r w:rsidRPr="00107B7E">
        <w:t>hormones</w:t>
      </w:r>
      <w:r>
        <w:t xml:space="preserve"> </w:t>
      </w:r>
      <w:r w:rsidRPr="00107B7E">
        <w:t>végétales,</w:t>
      </w:r>
      <w:r>
        <w:t xml:space="preserve"> </w:t>
      </w:r>
      <w:r w:rsidRPr="00107B7E">
        <w:t>ils</w:t>
      </w:r>
      <w:r>
        <w:t xml:space="preserve"> </w:t>
      </w:r>
      <w:r w:rsidRPr="00107B7E">
        <w:t>induisent</w:t>
      </w:r>
      <w:r>
        <w:t xml:space="preserve"> </w:t>
      </w:r>
      <w:r w:rsidRPr="00107B7E">
        <w:t>les</w:t>
      </w:r>
      <w:r>
        <w:t xml:space="preserve"> </w:t>
      </w:r>
      <w:r w:rsidRPr="00107B7E">
        <w:t>phénomènes</w:t>
      </w:r>
      <w:r>
        <w:t xml:space="preserve"> </w:t>
      </w:r>
      <w:r w:rsidRPr="00107B7E">
        <w:t>de croissance et de néoformation des organes « Phytohormones » = régulateurs de croissance</w:t>
      </w:r>
    </w:p>
    <w:p w:rsidR="00304135" w:rsidRPr="00107B7E" w:rsidRDefault="00304135" w:rsidP="00304135">
      <w:pPr>
        <w:spacing w:line="360" w:lineRule="auto"/>
        <w:jc w:val="both"/>
      </w:pPr>
      <w:r>
        <w:t>Définition:</w:t>
      </w:r>
      <w:r w:rsidRPr="00107B7E">
        <w:t xml:space="preserve"> une hormone est une substance qui, libérée dans un organisme, modifie l'activité des autres cellules qui lui sont spécifiquement sensibles</w:t>
      </w:r>
      <w:r>
        <w:t>.</w:t>
      </w:r>
    </w:p>
    <w:p w:rsidR="00304135" w:rsidRPr="00107B7E" w:rsidRDefault="00304135" w:rsidP="00304135">
      <w:pPr>
        <w:spacing w:line="360" w:lineRule="auto"/>
        <w:jc w:val="both"/>
      </w:pPr>
      <w:r w:rsidRPr="00107B7E">
        <w:t>Les hormones utilisées sont principalement :</w:t>
      </w:r>
    </w:p>
    <w:p w:rsidR="00304135" w:rsidRPr="00107B7E" w:rsidRDefault="00304135" w:rsidP="00304135">
      <w:pPr>
        <w:spacing w:line="360" w:lineRule="auto"/>
        <w:jc w:val="both"/>
      </w:pPr>
      <w:r w:rsidRPr="00107B7E">
        <w:t>- les auxines,</w:t>
      </w:r>
      <w:r>
        <w:t xml:space="preserve"> </w:t>
      </w:r>
      <w:r w:rsidRPr="00107B7E">
        <w:t xml:space="preserve">- les </w:t>
      </w:r>
      <w:proofErr w:type="spellStart"/>
      <w:r w:rsidRPr="00107B7E">
        <w:t>cytokinines</w:t>
      </w:r>
      <w:proofErr w:type="spellEnd"/>
      <w:r w:rsidRPr="00107B7E">
        <w:t>,</w:t>
      </w:r>
    </w:p>
    <w:p w:rsidR="00304135" w:rsidRPr="00107B7E" w:rsidRDefault="00304135" w:rsidP="00304135">
      <w:pPr>
        <w:spacing w:line="360" w:lineRule="auto"/>
        <w:jc w:val="both"/>
      </w:pPr>
      <w:proofErr w:type="gramStart"/>
      <w:r w:rsidRPr="00107B7E">
        <w:t>car</w:t>
      </w:r>
      <w:proofErr w:type="gramEnd"/>
      <w:r w:rsidRPr="00107B7E">
        <w:t xml:space="preserve"> ces hormones sont capables d’orienter les explants vers la formation de nouveaux organes.</w:t>
      </w:r>
    </w:p>
    <w:p w:rsidR="00304135" w:rsidRPr="006D23C1" w:rsidRDefault="00304135" w:rsidP="00304135">
      <w:pPr>
        <w:spacing w:line="360" w:lineRule="auto"/>
        <w:jc w:val="both"/>
        <w:rPr>
          <w:b/>
          <w:bCs/>
          <w:i/>
          <w:iCs/>
        </w:rPr>
      </w:pPr>
      <w:r w:rsidRPr="00107B7E">
        <w:rPr>
          <w:b/>
          <w:bCs/>
        </w:rPr>
        <w:t xml:space="preserve"> </w:t>
      </w:r>
      <w:r w:rsidRPr="006D23C1">
        <w:rPr>
          <w:b/>
          <w:bCs/>
          <w:i/>
          <w:iCs/>
        </w:rPr>
        <w:t>Auxines:</w:t>
      </w:r>
    </w:p>
    <w:p w:rsidR="00304135" w:rsidRPr="006D23C1" w:rsidRDefault="00304135" w:rsidP="00304135">
      <w:pPr>
        <w:spacing w:line="360" w:lineRule="auto"/>
        <w:jc w:val="both"/>
        <w:rPr>
          <w:b/>
          <w:bCs/>
          <w:i/>
          <w:iCs/>
        </w:rPr>
      </w:pPr>
      <w:proofErr w:type="spellStart"/>
      <w:r w:rsidRPr="006D23C1">
        <w:rPr>
          <w:b/>
          <w:bCs/>
          <w:i/>
          <w:iCs/>
        </w:rPr>
        <w:t>Cytokinines</w:t>
      </w:r>
      <w:proofErr w:type="spellEnd"/>
    </w:p>
    <w:p w:rsidR="00304135" w:rsidRPr="00304135" w:rsidRDefault="00304135" w:rsidP="00304135">
      <w:pPr>
        <w:spacing w:line="360" w:lineRule="auto"/>
        <w:jc w:val="both"/>
        <w:rPr>
          <w:b/>
          <w:bCs/>
          <w:u w:val="single"/>
        </w:rPr>
      </w:pPr>
      <w:r w:rsidRPr="00304135">
        <w:rPr>
          <w:b/>
          <w:bCs/>
        </w:rPr>
        <w:t>Base pour la culture in vitro de tissus végétaux</w:t>
      </w:r>
    </w:p>
    <w:p w:rsidR="00304135" w:rsidRPr="00107B7E" w:rsidRDefault="00304135" w:rsidP="00304135">
      <w:pPr>
        <w:spacing w:line="360" w:lineRule="auto"/>
        <w:jc w:val="both"/>
      </w:pPr>
      <w:r w:rsidRPr="00107B7E">
        <w:t>Le</w:t>
      </w:r>
      <w:r>
        <w:t xml:space="preserve"> </w:t>
      </w:r>
      <w:r w:rsidRPr="00107B7E">
        <w:t>ratio</w:t>
      </w:r>
      <w:r>
        <w:t xml:space="preserve"> </w:t>
      </w:r>
      <w:r w:rsidRPr="00107B7E">
        <w:t>des</w:t>
      </w:r>
      <w:r>
        <w:t xml:space="preserve"> </w:t>
      </w:r>
      <w:r w:rsidRPr="00107B7E">
        <w:t>deux</w:t>
      </w:r>
      <w:r>
        <w:t xml:space="preserve"> </w:t>
      </w:r>
      <w:r w:rsidRPr="00107B7E">
        <w:t>régulateurs</w:t>
      </w:r>
      <w:r>
        <w:t xml:space="preserve"> </w:t>
      </w:r>
      <w:r w:rsidRPr="00107B7E">
        <w:t>va</w:t>
      </w:r>
      <w:r>
        <w:t xml:space="preserve"> </w:t>
      </w:r>
      <w:r w:rsidRPr="00107B7E">
        <w:t>déterminer</w:t>
      </w:r>
      <w:r>
        <w:t xml:space="preserve"> </w:t>
      </w:r>
      <w:r w:rsidRPr="00107B7E">
        <w:t>le développement de la plante = la différenciation</w:t>
      </w:r>
      <w:r>
        <w:t xml:space="preserve"> </w:t>
      </w:r>
      <w:r w:rsidRPr="00107B7E">
        <w:t>:</w:t>
      </w:r>
    </w:p>
    <w:p w:rsidR="00304135" w:rsidRPr="00107B7E" w:rsidRDefault="00304135" w:rsidP="00304135">
      <w:pPr>
        <w:spacing w:line="360" w:lineRule="auto"/>
        <w:jc w:val="both"/>
      </w:pPr>
      <w:r w:rsidRPr="00107B7E">
        <w:t xml:space="preserve">– </w:t>
      </w:r>
      <w:r w:rsidRPr="00107B7E">
        <w:sym w:font="Symbol" w:char="F0AD"/>
      </w:r>
      <w:r w:rsidRPr="00107B7E">
        <w:t xml:space="preserve"> [auxine] ↓ [</w:t>
      </w:r>
      <w:proofErr w:type="spellStart"/>
      <w:r w:rsidRPr="00107B7E">
        <w:t>cytokinine</w:t>
      </w:r>
      <w:proofErr w:type="spellEnd"/>
      <w:r w:rsidRPr="00107B7E">
        <w:t xml:space="preserve">] : </w:t>
      </w:r>
      <w:proofErr w:type="spellStart"/>
      <w:r w:rsidRPr="00107B7E">
        <w:t>rhizogenèse</w:t>
      </w:r>
      <w:proofErr w:type="spellEnd"/>
    </w:p>
    <w:p w:rsidR="00304135" w:rsidRPr="00107B7E" w:rsidRDefault="00304135" w:rsidP="00304135">
      <w:pPr>
        <w:spacing w:line="360" w:lineRule="auto"/>
        <w:jc w:val="both"/>
      </w:pPr>
      <w:r w:rsidRPr="00107B7E">
        <w:t xml:space="preserve">– ↓ [auxine] </w:t>
      </w:r>
      <w:r w:rsidRPr="00107B7E">
        <w:sym w:font="Symbol" w:char="F0AD"/>
      </w:r>
      <w:r w:rsidRPr="00107B7E">
        <w:t xml:space="preserve"> [</w:t>
      </w:r>
      <w:proofErr w:type="spellStart"/>
      <w:r w:rsidRPr="00107B7E">
        <w:t>cytokinine</w:t>
      </w:r>
      <w:proofErr w:type="spellEnd"/>
      <w:r w:rsidRPr="00107B7E">
        <w:t xml:space="preserve">] : </w:t>
      </w:r>
      <w:proofErr w:type="spellStart"/>
      <w:r w:rsidRPr="00107B7E">
        <w:t>caulogenèse</w:t>
      </w:r>
      <w:proofErr w:type="spellEnd"/>
    </w:p>
    <w:p w:rsidR="00304135" w:rsidRPr="00107B7E" w:rsidRDefault="00304135" w:rsidP="00304135">
      <w:pPr>
        <w:spacing w:line="360" w:lineRule="auto"/>
        <w:jc w:val="both"/>
      </w:pPr>
      <w:r w:rsidRPr="00107B7E">
        <w:t>– [auxine] = [</w:t>
      </w:r>
      <w:proofErr w:type="spellStart"/>
      <w:r w:rsidRPr="00107B7E">
        <w:t>cytokinine</w:t>
      </w:r>
      <w:proofErr w:type="spellEnd"/>
      <w:r w:rsidRPr="00107B7E">
        <w:t xml:space="preserve">] : </w:t>
      </w:r>
      <w:proofErr w:type="spellStart"/>
      <w:r w:rsidRPr="00107B7E">
        <w:t>callogenèse</w:t>
      </w:r>
      <w:proofErr w:type="spellEnd"/>
    </w:p>
    <w:p w:rsidR="00304135" w:rsidRPr="00107B7E" w:rsidRDefault="00304135" w:rsidP="00304135">
      <w:pPr>
        <w:spacing w:line="360" w:lineRule="auto"/>
        <w:jc w:val="both"/>
      </w:pPr>
      <w:r w:rsidRPr="00107B7E">
        <w:rPr>
          <w:noProof/>
        </w:rPr>
        <w:drawing>
          <wp:anchor distT="0" distB="0" distL="114300" distR="114300" simplePos="0" relativeHeight="251663360" behindDoc="1" locked="0" layoutInCell="1" allowOverlap="1" wp14:anchorId="4E041209" wp14:editId="0D34D4A4">
            <wp:simplePos x="0" y="0"/>
            <wp:positionH relativeFrom="column">
              <wp:posOffset>2472055</wp:posOffset>
            </wp:positionH>
            <wp:positionV relativeFrom="paragraph">
              <wp:posOffset>63500</wp:posOffset>
            </wp:positionV>
            <wp:extent cx="4019550" cy="3432175"/>
            <wp:effectExtent l="0" t="0" r="0" b="0"/>
            <wp:wrapTight wrapText="bothSides">
              <wp:wrapPolygon edited="0">
                <wp:start x="0" y="0"/>
                <wp:lineTo x="0" y="21460"/>
                <wp:lineTo x="21498" y="21460"/>
                <wp:lineTo x="2149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343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135" w:rsidRPr="006D23C1" w:rsidRDefault="00304135" w:rsidP="00304135">
      <w:pPr>
        <w:spacing w:line="360" w:lineRule="auto"/>
        <w:jc w:val="both"/>
        <w:rPr>
          <w:b/>
          <w:bCs/>
          <w:i/>
          <w:iCs/>
        </w:rPr>
      </w:pPr>
      <w:r w:rsidRPr="006D23C1">
        <w:rPr>
          <w:b/>
          <w:bCs/>
          <w:i/>
          <w:iCs/>
        </w:rPr>
        <w:t>Organogenèse complète</w:t>
      </w:r>
    </w:p>
    <w:p w:rsidR="00304135" w:rsidRPr="00107B7E" w:rsidRDefault="00304135" w:rsidP="00304135">
      <w:pPr>
        <w:spacing w:line="360" w:lineRule="auto"/>
        <w:jc w:val="both"/>
      </w:pPr>
      <w:r w:rsidRPr="00107B7E">
        <w:t xml:space="preserve">- </w:t>
      </w:r>
      <w:proofErr w:type="spellStart"/>
      <w:r w:rsidRPr="00107B7E">
        <w:t>Caulogenèse</w:t>
      </w:r>
      <w:proofErr w:type="spellEnd"/>
      <w:r>
        <w:t xml:space="preserve"> : formation </w:t>
      </w:r>
      <w:proofErr w:type="gramStart"/>
      <w:r>
        <w:t>des tige</w:t>
      </w:r>
      <w:proofErr w:type="gramEnd"/>
    </w:p>
    <w:p w:rsidR="00304135" w:rsidRPr="00107B7E" w:rsidRDefault="00304135" w:rsidP="00304135">
      <w:pPr>
        <w:spacing w:line="360" w:lineRule="auto"/>
        <w:jc w:val="both"/>
      </w:pPr>
      <w:r w:rsidRPr="00107B7E">
        <w:t>- Phyllogenèse</w:t>
      </w:r>
      <w:r>
        <w:t> : formation des feuilles</w:t>
      </w:r>
    </w:p>
    <w:p w:rsidR="00304135" w:rsidRPr="00107B7E" w:rsidRDefault="00304135" w:rsidP="00304135">
      <w:pPr>
        <w:spacing w:line="360" w:lineRule="auto"/>
        <w:jc w:val="both"/>
      </w:pPr>
      <w:r w:rsidRPr="00107B7E">
        <w:t xml:space="preserve">- </w:t>
      </w:r>
      <w:proofErr w:type="spellStart"/>
      <w:r w:rsidRPr="00107B7E">
        <w:t>Rhizogenèse</w:t>
      </w:r>
      <w:proofErr w:type="spellEnd"/>
      <w:r>
        <w:t> : formation des racines</w:t>
      </w:r>
    </w:p>
    <w:p w:rsidR="00304135" w:rsidRPr="00107B7E" w:rsidRDefault="00304135" w:rsidP="00304135">
      <w:pPr>
        <w:spacing w:line="360" w:lineRule="auto"/>
        <w:jc w:val="both"/>
      </w:pPr>
      <w:r w:rsidRPr="00107B7E">
        <w:t>Obtenue</w:t>
      </w:r>
      <w:r>
        <w:t xml:space="preserve"> </w:t>
      </w:r>
      <w:r w:rsidRPr="00107B7E">
        <w:t>parfois</w:t>
      </w:r>
      <w:r>
        <w:t xml:space="preserve"> </w:t>
      </w:r>
      <w:r w:rsidRPr="00107B7E">
        <w:t>par</w:t>
      </w:r>
      <w:r>
        <w:t xml:space="preserve"> </w:t>
      </w:r>
      <w:r w:rsidRPr="00107B7E">
        <w:t>étapes</w:t>
      </w:r>
      <w:r>
        <w:t xml:space="preserve"> </w:t>
      </w:r>
      <w:r w:rsidRPr="00107B7E">
        <w:t>en</w:t>
      </w:r>
      <w:r>
        <w:t xml:space="preserve"> </w:t>
      </w:r>
      <w:r w:rsidRPr="00107B7E">
        <w:t>jouant</w:t>
      </w:r>
      <w:r>
        <w:t xml:space="preserve"> </w:t>
      </w:r>
      <w:r w:rsidRPr="00107B7E">
        <w:t>sur</w:t>
      </w:r>
      <w:r>
        <w:t xml:space="preserve"> </w:t>
      </w:r>
      <w:r w:rsidRPr="00107B7E">
        <w:t xml:space="preserve">le l’équilibre entre auxines et </w:t>
      </w:r>
      <w:proofErr w:type="spellStart"/>
      <w:r w:rsidRPr="00107B7E">
        <w:t>cytokinines</w:t>
      </w:r>
      <w:proofErr w:type="spellEnd"/>
      <w:r>
        <w:t>. Elle n</w:t>
      </w:r>
      <w:r w:rsidRPr="00107B7E">
        <w:t xml:space="preserve">écessite souvent une </w:t>
      </w:r>
      <w:proofErr w:type="spellStart"/>
      <w:r w:rsidRPr="00107B7E">
        <w:t>callogenèse</w:t>
      </w:r>
      <w:proofErr w:type="spellEnd"/>
      <w:r w:rsidRPr="00107B7E">
        <w:t xml:space="preserve"> (cal)</w:t>
      </w:r>
    </w:p>
    <w:p w:rsidR="00304135" w:rsidRPr="00107B7E" w:rsidRDefault="00304135" w:rsidP="00304135">
      <w:pPr>
        <w:spacing w:line="360" w:lineRule="auto"/>
        <w:jc w:val="both"/>
        <w:rPr>
          <w:b/>
          <w:bCs/>
          <w:u w:val="single"/>
        </w:rPr>
      </w:pPr>
    </w:p>
    <w:p w:rsidR="00304135" w:rsidRPr="00107B7E" w:rsidRDefault="00304135" w:rsidP="00304135">
      <w:pPr>
        <w:spacing w:line="360" w:lineRule="auto"/>
        <w:jc w:val="both"/>
      </w:pPr>
    </w:p>
    <w:p w:rsidR="00304135" w:rsidRPr="00107B7E" w:rsidRDefault="00304135" w:rsidP="00304135">
      <w:pPr>
        <w:spacing w:line="360" w:lineRule="auto"/>
        <w:jc w:val="both"/>
      </w:pPr>
    </w:p>
    <w:p w:rsidR="00304135" w:rsidRPr="00107B7E" w:rsidRDefault="00304135" w:rsidP="00304135">
      <w:pPr>
        <w:spacing w:line="360" w:lineRule="auto"/>
        <w:jc w:val="both"/>
      </w:pPr>
    </w:p>
    <w:p w:rsidR="00304135" w:rsidRPr="00107B7E" w:rsidRDefault="00304135" w:rsidP="00304135">
      <w:pPr>
        <w:spacing w:line="360" w:lineRule="auto"/>
        <w:jc w:val="both"/>
      </w:pPr>
    </w:p>
    <w:p w:rsidR="00304135" w:rsidRPr="00107B7E" w:rsidRDefault="00304135" w:rsidP="00304135">
      <w:pPr>
        <w:spacing w:line="360" w:lineRule="auto"/>
        <w:jc w:val="both"/>
      </w:pPr>
      <w:r w:rsidRPr="00107B7E">
        <w:t>Rapport auxine /</w:t>
      </w:r>
      <w:proofErr w:type="spellStart"/>
      <w:r w:rsidRPr="00107B7E">
        <w:t>cytokinine</w:t>
      </w:r>
      <w:proofErr w:type="spellEnd"/>
    </w:p>
    <w:p w:rsidR="00304135" w:rsidRPr="00107B7E" w:rsidRDefault="00304135" w:rsidP="00304135">
      <w:pPr>
        <w:spacing w:line="360" w:lineRule="auto"/>
        <w:jc w:val="both"/>
      </w:pPr>
      <w:r w:rsidRPr="00107B7E">
        <w:rPr>
          <w:noProof/>
        </w:rPr>
        <w:lastRenderedPageBreak/>
        <w:drawing>
          <wp:anchor distT="0" distB="0" distL="114300" distR="114300" simplePos="0" relativeHeight="251662336" behindDoc="1" locked="0" layoutInCell="1" allowOverlap="1" wp14:anchorId="3ECE443C" wp14:editId="0A1C9588">
            <wp:simplePos x="0" y="0"/>
            <wp:positionH relativeFrom="column">
              <wp:align>center</wp:align>
            </wp:positionH>
            <wp:positionV relativeFrom="paragraph">
              <wp:posOffset>168275</wp:posOffset>
            </wp:positionV>
            <wp:extent cx="4262120" cy="2788285"/>
            <wp:effectExtent l="0" t="0" r="5080" b="0"/>
            <wp:wrapTight wrapText="bothSides">
              <wp:wrapPolygon edited="0">
                <wp:start x="0" y="0"/>
                <wp:lineTo x="0" y="21398"/>
                <wp:lineTo x="21529" y="21398"/>
                <wp:lineTo x="2152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120" cy="278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135" w:rsidRPr="00107B7E" w:rsidRDefault="00304135" w:rsidP="00304135">
      <w:pPr>
        <w:spacing w:line="360" w:lineRule="auto"/>
        <w:jc w:val="both"/>
      </w:pPr>
    </w:p>
    <w:p w:rsidR="00304135" w:rsidRPr="00107B7E" w:rsidRDefault="00304135" w:rsidP="00304135">
      <w:pPr>
        <w:spacing w:line="360" w:lineRule="auto"/>
        <w:jc w:val="both"/>
      </w:pPr>
    </w:p>
    <w:p w:rsidR="00304135" w:rsidRPr="00107B7E" w:rsidRDefault="00304135" w:rsidP="00304135">
      <w:pPr>
        <w:spacing w:line="360" w:lineRule="auto"/>
        <w:jc w:val="both"/>
      </w:pPr>
    </w:p>
    <w:p w:rsidR="00304135" w:rsidRDefault="00304135" w:rsidP="00304135">
      <w:pPr>
        <w:spacing w:line="360" w:lineRule="auto"/>
        <w:jc w:val="both"/>
      </w:pPr>
      <w:r w:rsidRPr="00107B7E">
        <w:t xml:space="preserve"> </w:t>
      </w:r>
    </w:p>
    <w:p w:rsidR="00304135" w:rsidRDefault="00304135" w:rsidP="00304135">
      <w:pPr>
        <w:spacing w:line="360" w:lineRule="auto"/>
        <w:jc w:val="both"/>
      </w:pPr>
    </w:p>
    <w:p w:rsidR="00304135" w:rsidRDefault="00304135" w:rsidP="00304135">
      <w:pPr>
        <w:spacing w:line="360" w:lineRule="auto"/>
        <w:jc w:val="both"/>
      </w:pPr>
    </w:p>
    <w:p w:rsidR="00304135" w:rsidRDefault="00304135" w:rsidP="00304135">
      <w:pPr>
        <w:spacing w:line="360" w:lineRule="auto"/>
        <w:jc w:val="both"/>
      </w:pPr>
    </w:p>
    <w:p w:rsidR="00304135" w:rsidRDefault="00304135" w:rsidP="00304135">
      <w:pPr>
        <w:spacing w:line="360" w:lineRule="auto"/>
        <w:jc w:val="both"/>
      </w:pPr>
    </w:p>
    <w:p w:rsidR="00304135" w:rsidRDefault="00304135" w:rsidP="00304135">
      <w:pPr>
        <w:spacing w:line="360" w:lineRule="auto"/>
        <w:jc w:val="both"/>
      </w:pPr>
    </w:p>
    <w:p w:rsidR="00304135" w:rsidRDefault="00304135" w:rsidP="00304135">
      <w:pPr>
        <w:spacing w:line="360" w:lineRule="auto"/>
        <w:jc w:val="both"/>
      </w:pPr>
    </w:p>
    <w:p w:rsidR="00304135" w:rsidRDefault="00304135" w:rsidP="00304135">
      <w:pPr>
        <w:spacing w:line="360" w:lineRule="auto"/>
        <w:jc w:val="both"/>
      </w:pPr>
    </w:p>
    <w:p w:rsidR="00304135" w:rsidRPr="009A635A" w:rsidRDefault="00304135" w:rsidP="00304135">
      <w:pPr>
        <w:spacing w:line="360" w:lineRule="auto"/>
        <w:jc w:val="both"/>
        <w:rPr>
          <w:b/>
          <w:bCs/>
        </w:rPr>
      </w:pPr>
      <w:r>
        <w:rPr>
          <w:b/>
          <w:bCs/>
        </w:rPr>
        <w:t>Notions de :</w:t>
      </w:r>
      <w:r w:rsidRPr="009A635A">
        <w:rPr>
          <w:b/>
          <w:bCs/>
        </w:rPr>
        <w:t xml:space="preserve"> Différenciation et dédifférenciation</w:t>
      </w:r>
    </w:p>
    <w:p w:rsidR="00304135" w:rsidRPr="009A635A" w:rsidRDefault="00304135" w:rsidP="00304135">
      <w:pPr>
        <w:spacing w:line="360" w:lineRule="auto"/>
        <w:jc w:val="both"/>
        <w:rPr>
          <w:b/>
          <w:bCs/>
        </w:rPr>
      </w:pPr>
      <w:r w:rsidRPr="009A635A">
        <w:rPr>
          <w:b/>
          <w:bCs/>
        </w:rPr>
        <w:t>La différenciation</w:t>
      </w:r>
    </w:p>
    <w:p w:rsidR="00304135" w:rsidRPr="009A635A" w:rsidRDefault="00304135" w:rsidP="00304135">
      <w:pPr>
        <w:spacing w:line="360" w:lineRule="auto"/>
        <w:jc w:val="both"/>
      </w:pPr>
      <w:r w:rsidRPr="009A635A">
        <w:t xml:space="preserve">Les cellules d’un organisme proviennent toutes d’une même cellule-œuf ou zygote. Au cours de l’ontogenèse </w:t>
      </w:r>
      <w:r>
        <w:t>(</w:t>
      </w:r>
      <w:r w:rsidRPr="003B1E65">
        <w:t xml:space="preserve">Développement de l'individu, depuis la fécondation de l'œuf jusqu'à l'état </w:t>
      </w:r>
      <w:proofErr w:type="gramStart"/>
      <w:r w:rsidRPr="003B1E65">
        <w:t>adulte</w:t>
      </w:r>
      <w:r w:rsidRPr="009A635A">
        <w:t xml:space="preserve"> </w:t>
      </w:r>
      <w:r>
        <w:t>)</w:t>
      </w:r>
      <w:proofErr w:type="gramEnd"/>
      <w:r>
        <w:t xml:space="preserve"> </w:t>
      </w:r>
      <w:r w:rsidRPr="009A635A">
        <w:t xml:space="preserve">la mise en place des différents tissus implique la différenciation des cellules. </w:t>
      </w:r>
      <w:proofErr w:type="gramStart"/>
      <w:r w:rsidRPr="009A635A">
        <w:t>Cette  différenciation</w:t>
      </w:r>
      <w:proofErr w:type="gramEnd"/>
      <w:r w:rsidRPr="009A635A">
        <w:t xml:space="preserve">  fait  apparaitre  une  diversité  qui  se  situe  à  plusieurs  niveaux :  niveau cytologique   des   structures   et   infrastructures   cellulaires,   niveau   biochimique,   niveau physiologique du fonctionnement.</w:t>
      </w:r>
    </w:p>
    <w:p w:rsidR="00304135" w:rsidRPr="009A635A" w:rsidRDefault="00304135" w:rsidP="00304135">
      <w:pPr>
        <w:spacing w:line="360" w:lineRule="auto"/>
        <w:jc w:val="both"/>
        <w:rPr>
          <w:b/>
          <w:bCs/>
        </w:rPr>
      </w:pPr>
      <w:r w:rsidRPr="009A635A">
        <w:rPr>
          <w:b/>
          <w:bCs/>
        </w:rPr>
        <w:t>La dédifférenciation</w:t>
      </w:r>
    </w:p>
    <w:p w:rsidR="00304135" w:rsidRDefault="00304135" w:rsidP="00304135">
      <w:pPr>
        <w:spacing w:line="360" w:lineRule="auto"/>
        <w:jc w:val="both"/>
      </w:pPr>
      <w:r>
        <w:t xml:space="preserve">A l’inverse, des </w:t>
      </w:r>
      <w:proofErr w:type="gramStart"/>
      <w:r w:rsidRPr="0091453B">
        <w:t>tissus  déjà</w:t>
      </w:r>
      <w:proofErr w:type="gramEnd"/>
      <w:r w:rsidRPr="0091453B">
        <w:t xml:space="preserve">  différenciés  peuvent  se  dédifférencier  c'est-à-dire  recouvrer  les caractéristiques cytologique et les potentialités des cellules embryonnaires.</w:t>
      </w:r>
      <w:r>
        <w:t xml:space="preserve"> Il est évident que la dédifférenciation ne peut affecter que des cellules qui ne sont pas trop </w:t>
      </w:r>
    </w:p>
    <w:p w:rsidR="00304135" w:rsidRPr="0091453B" w:rsidRDefault="00304135" w:rsidP="00304135">
      <w:pPr>
        <w:spacing w:line="360" w:lineRule="auto"/>
        <w:jc w:val="both"/>
      </w:pPr>
      <w:proofErr w:type="gramStart"/>
      <w:r>
        <w:t>engagées</w:t>
      </w:r>
      <w:proofErr w:type="gramEnd"/>
      <w:r>
        <w:t xml:space="preserve"> dans une spécialisation trop poussée.</w:t>
      </w:r>
    </w:p>
    <w:p w:rsidR="00304135" w:rsidRPr="00304135" w:rsidRDefault="00304135" w:rsidP="00304135">
      <w:pPr>
        <w:spacing w:line="360" w:lineRule="auto"/>
        <w:jc w:val="both"/>
        <w:rPr>
          <w:b/>
          <w:bCs/>
        </w:rPr>
      </w:pPr>
      <w:r w:rsidRPr="00304135">
        <w:rPr>
          <w:b/>
          <w:bCs/>
        </w:rPr>
        <w:t>Les étapes de la culture in vitro</w:t>
      </w:r>
    </w:p>
    <w:p w:rsidR="00304135" w:rsidRPr="00B144A1" w:rsidRDefault="00304135" w:rsidP="00304135">
      <w:pPr>
        <w:spacing w:line="360" w:lineRule="auto"/>
        <w:jc w:val="both"/>
        <w:rPr>
          <w:rFonts w:asciiTheme="majorBidi" w:hAnsiTheme="majorBidi" w:cstheme="majorBidi"/>
        </w:rPr>
      </w:pPr>
      <w:r w:rsidRPr="00B144A1">
        <w:rPr>
          <w:rFonts w:asciiTheme="majorBidi" w:hAnsiTheme="majorBidi" w:cstheme="majorBidi"/>
        </w:rPr>
        <w:t xml:space="preserve">Quatre étapes principales sont nécessaires pour établir une espèce, un cultivar, une variété in vitro. </w:t>
      </w:r>
    </w:p>
    <w:p w:rsidR="00304135" w:rsidRPr="00B144A1" w:rsidRDefault="00304135" w:rsidP="00304135">
      <w:pPr>
        <w:spacing w:line="360" w:lineRule="auto"/>
        <w:jc w:val="both"/>
        <w:rPr>
          <w:rFonts w:asciiTheme="majorBidi" w:hAnsiTheme="majorBidi" w:cstheme="majorBidi"/>
        </w:rPr>
      </w:pPr>
      <w:r w:rsidRPr="00304135">
        <w:rPr>
          <w:rFonts w:asciiTheme="majorBidi" w:hAnsiTheme="majorBidi" w:cstheme="majorBidi"/>
          <w:b/>
          <w:bCs/>
        </w:rPr>
        <w:t>Une première étape d'initiation</w:t>
      </w:r>
      <w:r w:rsidRPr="00B144A1">
        <w:rPr>
          <w:rFonts w:asciiTheme="majorBidi" w:hAnsiTheme="majorBidi" w:cstheme="majorBidi"/>
        </w:rPr>
        <w:t xml:space="preserve"> de la culture est nécessaire : c'est la phase la plus sensible qui </w:t>
      </w:r>
      <w:proofErr w:type="gramStart"/>
      <w:r w:rsidRPr="00B144A1">
        <w:rPr>
          <w:rFonts w:asciiTheme="majorBidi" w:hAnsiTheme="majorBidi" w:cstheme="majorBidi"/>
        </w:rPr>
        <w:t>consiste  à</w:t>
      </w:r>
      <w:proofErr w:type="gramEnd"/>
      <w:r w:rsidRPr="00B144A1">
        <w:rPr>
          <w:rFonts w:asciiTheme="majorBidi" w:hAnsiTheme="majorBidi" w:cstheme="majorBidi"/>
        </w:rPr>
        <w:t xml:space="preserve">  désinfecter  les  boutures  (racine,  bourgeon,  etc.)  , avant de les placer sur un milieu de culture approprié. Viennent ensuite les étapes </w:t>
      </w:r>
      <w:r w:rsidRPr="00304135">
        <w:rPr>
          <w:rFonts w:asciiTheme="majorBidi" w:hAnsiTheme="majorBidi" w:cstheme="majorBidi"/>
          <w:b/>
          <w:bCs/>
        </w:rPr>
        <w:t>de multiplication, d'enracinement et enfin de sevrage ou acclimatation.</w:t>
      </w:r>
      <w:r w:rsidRPr="00B144A1">
        <w:rPr>
          <w:rFonts w:asciiTheme="majorBidi" w:hAnsiTheme="majorBidi" w:cstheme="majorBidi"/>
        </w:rPr>
        <w:t xml:space="preserve"> Le sevrage est le passage des conditions de laboratoire aux conditions de serre. Cette phase s'avère souvent critique, car les plantes en tubes ont perpétuellement leurs stomates ouverts, même les plantes succulentes </w:t>
      </w:r>
    </w:p>
    <w:p w:rsidR="00304135" w:rsidRPr="00B144A1" w:rsidRDefault="00304135" w:rsidP="00304135">
      <w:pPr>
        <w:spacing w:line="360" w:lineRule="auto"/>
        <w:jc w:val="both"/>
        <w:rPr>
          <w:rFonts w:asciiTheme="majorBidi" w:hAnsiTheme="majorBidi" w:cstheme="majorBidi"/>
        </w:rPr>
      </w:pPr>
      <w:proofErr w:type="gramStart"/>
      <w:r w:rsidRPr="00B144A1">
        <w:rPr>
          <w:rFonts w:asciiTheme="majorBidi" w:hAnsiTheme="majorBidi" w:cstheme="majorBidi"/>
        </w:rPr>
        <w:t>peuvent</w:t>
      </w:r>
      <w:proofErr w:type="gramEnd"/>
      <w:r w:rsidRPr="00B144A1">
        <w:rPr>
          <w:rFonts w:asciiTheme="majorBidi" w:hAnsiTheme="majorBidi" w:cstheme="majorBidi"/>
        </w:rPr>
        <w:t xml:space="preserve"> sécher si le changement d'environnement se fait trop brusquement.</w:t>
      </w:r>
    </w:p>
    <w:p w:rsidR="00304135" w:rsidRPr="00304135" w:rsidRDefault="00304135" w:rsidP="00304135">
      <w:pPr>
        <w:spacing w:line="360" w:lineRule="auto"/>
        <w:jc w:val="both"/>
        <w:rPr>
          <w:b/>
          <w:bCs/>
        </w:rPr>
      </w:pPr>
      <w:r>
        <w:rPr>
          <w:b/>
          <w:bCs/>
        </w:rPr>
        <w:t xml:space="preserve">Exemple : </w:t>
      </w:r>
      <w:r w:rsidRPr="00304135">
        <w:rPr>
          <w:b/>
          <w:bCs/>
        </w:rPr>
        <w:t>Multiplication végétative (La micro-propagation)</w:t>
      </w:r>
    </w:p>
    <w:p w:rsidR="00304135" w:rsidRPr="006329F9" w:rsidRDefault="00304135" w:rsidP="00304135">
      <w:pPr>
        <w:spacing w:line="360" w:lineRule="auto"/>
        <w:jc w:val="both"/>
      </w:pPr>
      <w:proofErr w:type="gramStart"/>
      <w:r w:rsidRPr="006329F9">
        <w:t>Elle  permet</w:t>
      </w:r>
      <w:proofErr w:type="gramEnd"/>
      <w:r w:rsidRPr="006329F9">
        <w:t xml:space="preserve">  de  reproduire  un  individu  et  le  multiplier  en  très  grand  nombre,  à  partir  de </w:t>
      </w:r>
    </w:p>
    <w:p w:rsidR="00304135" w:rsidRPr="006329F9" w:rsidRDefault="00304135" w:rsidP="00304135">
      <w:pPr>
        <w:spacing w:line="360" w:lineRule="auto"/>
        <w:jc w:val="both"/>
      </w:pPr>
      <w:proofErr w:type="gramStart"/>
      <w:r w:rsidRPr="006329F9">
        <w:t>cellules</w:t>
      </w:r>
      <w:proofErr w:type="gramEnd"/>
      <w:r w:rsidRPr="006329F9">
        <w:t xml:space="preserve"> ou d’un fragment d’organe. Elle se réalise par exemple à partir de nœuds, de pousses </w:t>
      </w:r>
    </w:p>
    <w:p w:rsidR="00304135" w:rsidRPr="006329F9" w:rsidRDefault="00304135" w:rsidP="00304135">
      <w:pPr>
        <w:spacing w:line="360" w:lineRule="auto"/>
        <w:jc w:val="both"/>
      </w:pPr>
      <w:proofErr w:type="gramStart"/>
      <w:r w:rsidRPr="006329F9">
        <w:lastRenderedPageBreak/>
        <w:t>axillaires</w:t>
      </w:r>
      <w:proofErr w:type="gramEnd"/>
      <w:r w:rsidRPr="006329F9">
        <w:t xml:space="preserve"> et s’apparente au bouturage des jardiniers. Mis en culture, ces tissus se développent </w:t>
      </w:r>
    </w:p>
    <w:p w:rsidR="00304135" w:rsidRDefault="00304135" w:rsidP="00304135">
      <w:pPr>
        <w:spacing w:line="360" w:lineRule="auto"/>
        <w:jc w:val="both"/>
      </w:pPr>
      <w:r>
        <w:rPr>
          <w:noProof/>
        </w:rPr>
        <w:drawing>
          <wp:anchor distT="0" distB="0" distL="114300" distR="114300" simplePos="0" relativeHeight="251659264" behindDoc="1" locked="0" layoutInCell="1" allowOverlap="1" wp14:anchorId="3B75889B" wp14:editId="27068537">
            <wp:simplePos x="0" y="0"/>
            <wp:positionH relativeFrom="column">
              <wp:posOffset>443230</wp:posOffset>
            </wp:positionH>
            <wp:positionV relativeFrom="paragraph">
              <wp:posOffset>258445</wp:posOffset>
            </wp:positionV>
            <wp:extent cx="4904762" cy="3495238"/>
            <wp:effectExtent l="0" t="0" r="0" b="0"/>
            <wp:wrapTight wrapText="bothSides">
              <wp:wrapPolygon edited="0">
                <wp:start x="0" y="0"/>
                <wp:lineTo x="0" y="21427"/>
                <wp:lineTo x="21477" y="21427"/>
                <wp:lineTo x="214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04762" cy="3495238"/>
                    </a:xfrm>
                    <a:prstGeom prst="rect">
                      <a:avLst/>
                    </a:prstGeom>
                  </pic:spPr>
                </pic:pic>
              </a:graphicData>
            </a:graphic>
          </wp:anchor>
        </w:drawing>
      </w:r>
      <w:proofErr w:type="gramStart"/>
      <w:r w:rsidRPr="006329F9">
        <w:t>et</w:t>
      </w:r>
      <w:proofErr w:type="gramEnd"/>
      <w:r w:rsidRPr="006329F9">
        <w:t xml:space="preserve"> donnent une plante entière grâce à l’usage séquentiel de milieux nutritifs adaptés.</w:t>
      </w:r>
    </w:p>
    <w:p w:rsidR="00802202" w:rsidRDefault="00802202"/>
    <w:sectPr w:rsidR="00802202" w:rsidSect="005536B3">
      <w:headerReference w:type="default" r:id="rId10"/>
      <w:pgSz w:w="11906" w:h="16838" w:code="9"/>
      <w:pgMar w:top="851" w:right="851" w:bottom="851" w:left="851"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7A" w:rsidRDefault="002B587A" w:rsidP="005536B3">
      <w:r>
        <w:separator/>
      </w:r>
    </w:p>
  </w:endnote>
  <w:endnote w:type="continuationSeparator" w:id="0">
    <w:p w:rsidR="002B587A" w:rsidRDefault="002B587A" w:rsidP="0055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7A" w:rsidRDefault="002B587A" w:rsidP="005536B3">
      <w:r>
        <w:separator/>
      </w:r>
    </w:p>
  </w:footnote>
  <w:footnote w:type="continuationSeparator" w:id="0">
    <w:p w:rsidR="002B587A" w:rsidRDefault="002B587A" w:rsidP="0055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B3" w:rsidRDefault="005536B3" w:rsidP="005536B3">
    <w:pPr>
      <w:pStyle w:val="NormalWeb"/>
      <w:spacing w:before="0" w:beforeAutospacing="0" w:after="0" w:afterAutospacing="0" w:line="360" w:lineRule="auto"/>
      <w:jc w:val="both"/>
      <w:rPr>
        <w:rFonts w:asciiTheme="minorBidi" w:eastAsiaTheme="minorEastAsia" w:hAnsiTheme="minorBidi" w:cstheme="minorBidi"/>
        <w:color w:val="000000"/>
        <w:u w:val="single"/>
      </w:rPr>
    </w:pPr>
    <w:r>
      <w:rPr>
        <w:b/>
        <w:bCs/>
      </w:rPr>
      <w:t>COURS</w:t>
    </w:r>
    <w:r>
      <w:rPr>
        <w:b/>
        <w:bCs/>
      </w:rPr>
      <w:t>3</w:t>
    </w:r>
    <w:r>
      <w:t xml:space="preserve">: </w:t>
    </w:r>
    <w:r>
      <w:rPr>
        <w:rFonts w:asciiTheme="minorBidi" w:eastAsiaTheme="minorEastAsia" w:hAnsiTheme="minorBidi" w:cstheme="minorBidi"/>
        <w:b/>
        <w:bCs/>
        <w:color w:val="000000"/>
        <w:u w:val="single"/>
      </w:rPr>
      <w:t xml:space="preserve">Biotechnologies de Conservation des RPG du Palmier Dattier          M1 </w:t>
    </w:r>
    <w:proofErr w:type="spellStart"/>
    <w:r>
      <w:rPr>
        <w:rFonts w:asciiTheme="minorBidi" w:eastAsiaTheme="minorEastAsia" w:hAnsiTheme="minorBidi" w:cstheme="minorBidi"/>
        <w:b/>
        <w:bCs/>
        <w:color w:val="000000"/>
        <w:u w:val="single"/>
      </w:rPr>
      <w:t>PhoTVD</w:t>
    </w:r>
    <w:proofErr w:type="spellEnd"/>
  </w:p>
  <w:p w:rsidR="005536B3" w:rsidRDefault="00553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F1E"/>
    <w:multiLevelType w:val="multilevel"/>
    <w:tmpl w:val="95AC96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1010E2"/>
    <w:multiLevelType w:val="hybridMultilevel"/>
    <w:tmpl w:val="7124F4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C77BE2"/>
    <w:multiLevelType w:val="hybridMultilevel"/>
    <w:tmpl w:val="D2164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106B17"/>
    <w:multiLevelType w:val="multilevel"/>
    <w:tmpl w:val="95AC96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9972F5"/>
    <w:multiLevelType w:val="hybridMultilevel"/>
    <w:tmpl w:val="F51CC5E6"/>
    <w:lvl w:ilvl="0" w:tplc="B9BCDFCE">
      <w:start w:val="1"/>
      <w:numFmt w:val="bullet"/>
      <w:lvlText w:val="-"/>
      <w:lvlJc w:val="left"/>
      <w:pPr>
        <w:tabs>
          <w:tab w:val="num" w:pos="720"/>
        </w:tabs>
        <w:ind w:left="720" w:hanging="360"/>
      </w:pPr>
      <w:rPr>
        <w:rFonts w:ascii="Calibri" w:hAnsi="Calibri" w:hint="default"/>
      </w:rPr>
    </w:lvl>
    <w:lvl w:ilvl="1" w:tplc="96CED4DA" w:tentative="1">
      <w:start w:val="1"/>
      <w:numFmt w:val="bullet"/>
      <w:lvlText w:val="-"/>
      <w:lvlJc w:val="left"/>
      <w:pPr>
        <w:tabs>
          <w:tab w:val="num" w:pos="1440"/>
        </w:tabs>
        <w:ind w:left="1440" w:hanging="360"/>
      </w:pPr>
      <w:rPr>
        <w:rFonts w:ascii="Calibri" w:hAnsi="Calibri" w:hint="default"/>
      </w:rPr>
    </w:lvl>
    <w:lvl w:ilvl="2" w:tplc="53F2F954" w:tentative="1">
      <w:start w:val="1"/>
      <w:numFmt w:val="bullet"/>
      <w:lvlText w:val="-"/>
      <w:lvlJc w:val="left"/>
      <w:pPr>
        <w:tabs>
          <w:tab w:val="num" w:pos="2160"/>
        </w:tabs>
        <w:ind w:left="2160" w:hanging="360"/>
      </w:pPr>
      <w:rPr>
        <w:rFonts w:ascii="Calibri" w:hAnsi="Calibri" w:hint="default"/>
      </w:rPr>
    </w:lvl>
    <w:lvl w:ilvl="3" w:tplc="9FF030BA" w:tentative="1">
      <w:start w:val="1"/>
      <w:numFmt w:val="bullet"/>
      <w:lvlText w:val="-"/>
      <w:lvlJc w:val="left"/>
      <w:pPr>
        <w:tabs>
          <w:tab w:val="num" w:pos="2880"/>
        </w:tabs>
        <w:ind w:left="2880" w:hanging="360"/>
      </w:pPr>
      <w:rPr>
        <w:rFonts w:ascii="Calibri" w:hAnsi="Calibri" w:hint="default"/>
      </w:rPr>
    </w:lvl>
    <w:lvl w:ilvl="4" w:tplc="C6AC687E" w:tentative="1">
      <w:start w:val="1"/>
      <w:numFmt w:val="bullet"/>
      <w:lvlText w:val="-"/>
      <w:lvlJc w:val="left"/>
      <w:pPr>
        <w:tabs>
          <w:tab w:val="num" w:pos="3600"/>
        </w:tabs>
        <w:ind w:left="3600" w:hanging="360"/>
      </w:pPr>
      <w:rPr>
        <w:rFonts w:ascii="Calibri" w:hAnsi="Calibri" w:hint="default"/>
      </w:rPr>
    </w:lvl>
    <w:lvl w:ilvl="5" w:tplc="0FC8D334" w:tentative="1">
      <w:start w:val="1"/>
      <w:numFmt w:val="bullet"/>
      <w:lvlText w:val="-"/>
      <w:lvlJc w:val="left"/>
      <w:pPr>
        <w:tabs>
          <w:tab w:val="num" w:pos="4320"/>
        </w:tabs>
        <w:ind w:left="4320" w:hanging="360"/>
      </w:pPr>
      <w:rPr>
        <w:rFonts w:ascii="Calibri" w:hAnsi="Calibri" w:hint="default"/>
      </w:rPr>
    </w:lvl>
    <w:lvl w:ilvl="6" w:tplc="209A3C8A" w:tentative="1">
      <w:start w:val="1"/>
      <w:numFmt w:val="bullet"/>
      <w:lvlText w:val="-"/>
      <w:lvlJc w:val="left"/>
      <w:pPr>
        <w:tabs>
          <w:tab w:val="num" w:pos="5040"/>
        </w:tabs>
        <w:ind w:left="5040" w:hanging="360"/>
      </w:pPr>
      <w:rPr>
        <w:rFonts w:ascii="Calibri" w:hAnsi="Calibri" w:hint="default"/>
      </w:rPr>
    </w:lvl>
    <w:lvl w:ilvl="7" w:tplc="D4020EE2" w:tentative="1">
      <w:start w:val="1"/>
      <w:numFmt w:val="bullet"/>
      <w:lvlText w:val="-"/>
      <w:lvlJc w:val="left"/>
      <w:pPr>
        <w:tabs>
          <w:tab w:val="num" w:pos="5760"/>
        </w:tabs>
        <w:ind w:left="5760" w:hanging="360"/>
      </w:pPr>
      <w:rPr>
        <w:rFonts w:ascii="Calibri" w:hAnsi="Calibri" w:hint="default"/>
      </w:rPr>
    </w:lvl>
    <w:lvl w:ilvl="8" w:tplc="57D28CC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7C482EB7"/>
    <w:multiLevelType w:val="hybridMultilevel"/>
    <w:tmpl w:val="46AEF206"/>
    <w:lvl w:ilvl="0" w:tplc="8E340642">
      <w:start w:val="1"/>
      <w:numFmt w:val="bullet"/>
      <w:lvlText w:val="-"/>
      <w:lvlJc w:val="left"/>
      <w:pPr>
        <w:tabs>
          <w:tab w:val="num" w:pos="720"/>
        </w:tabs>
        <w:ind w:left="720" w:hanging="360"/>
      </w:pPr>
      <w:rPr>
        <w:rFonts w:ascii="Calibri" w:hAnsi="Calibri" w:hint="default"/>
      </w:rPr>
    </w:lvl>
    <w:lvl w:ilvl="1" w:tplc="7782594E" w:tentative="1">
      <w:start w:val="1"/>
      <w:numFmt w:val="bullet"/>
      <w:lvlText w:val="-"/>
      <w:lvlJc w:val="left"/>
      <w:pPr>
        <w:tabs>
          <w:tab w:val="num" w:pos="1440"/>
        </w:tabs>
        <w:ind w:left="1440" w:hanging="360"/>
      </w:pPr>
      <w:rPr>
        <w:rFonts w:ascii="Calibri" w:hAnsi="Calibri" w:hint="default"/>
      </w:rPr>
    </w:lvl>
    <w:lvl w:ilvl="2" w:tplc="766A2DA4" w:tentative="1">
      <w:start w:val="1"/>
      <w:numFmt w:val="bullet"/>
      <w:lvlText w:val="-"/>
      <w:lvlJc w:val="left"/>
      <w:pPr>
        <w:tabs>
          <w:tab w:val="num" w:pos="2160"/>
        </w:tabs>
        <w:ind w:left="2160" w:hanging="360"/>
      </w:pPr>
      <w:rPr>
        <w:rFonts w:ascii="Calibri" w:hAnsi="Calibri" w:hint="default"/>
      </w:rPr>
    </w:lvl>
    <w:lvl w:ilvl="3" w:tplc="3C7A5D54" w:tentative="1">
      <w:start w:val="1"/>
      <w:numFmt w:val="bullet"/>
      <w:lvlText w:val="-"/>
      <w:lvlJc w:val="left"/>
      <w:pPr>
        <w:tabs>
          <w:tab w:val="num" w:pos="2880"/>
        </w:tabs>
        <w:ind w:left="2880" w:hanging="360"/>
      </w:pPr>
      <w:rPr>
        <w:rFonts w:ascii="Calibri" w:hAnsi="Calibri" w:hint="default"/>
      </w:rPr>
    </w:lvl>
    <w:lvl w:ilvl="4" w:tplc="F1BEAFB6" w:tentative="1">
      <w:start w:val="1"/>
      <w:numFmt w:val="bullet"/>
      <w:lvlText w:val="-"/>
      <w:lvlJc w:val="left"/>
      <w:pPr>
        <w:tabs>
          <w:tab w:val="num" w:pos="3600"/>
        </w:tabs>
        <w:ind w:left="3600" w:hanging="360"/>
      </w:pPr>
      <w:rPr>
        <w:rFonts w:ascii="Calibri" w:hAnsi="Calibri" w:hint="default"/>
      </w:rPr>
    </w:lvl>
    <w:lvl w:ilvl="5" w:tplc="61C09B20" w:tentative="1">
      <w:start w:val="1"/>
      <w:numFmt w:val="bullet"/>
      <w:lvlText w:val="-"/>
      <w:lvlJc w:val="left"/>
      <w:pPr>
        <w:tabs>
          <w:tab w:val="num" w:pos="4320"/>
        </w:tabs>
        <w:ind w:left="4320" w:hanging="360"/>
      </w:pPr>
      <w:rPr>
        <w:rFonts w:ascii="Calibri" w:hAnsi="Calibri" w:hint="default"/>
      </w:rPr>
    </w:lvl>
    <w:lvl w:ilvl="6" w:tplc="C2D851BE" w:tentative="1">
      <w:start w:val="1"/>
      <w:numFmt w:val="bullet"/>
      <w:lvlText w:val="-"/>
      <w:lvlJc w:val="left"/>
      <w:pPr>
        <w:tabs>
          <w:tab w:val="num" w:pos="5040"/>
        </w:tabs>
        <w:ind w:left="5040" w:hanging="360"/>
      </w:pPr>
      <w:rPr>
        <w:rFonts w:ascii="Calibri" w:hAnsi="Calibri" w:hint="default"/>
      </w:rPr>
    </w:lvl>
    <w:lvl w:ilvl="7" w:tplc="54C0D4B6" w:tentative="1">
      <w:start w:val="1"/>
      <w:numFmt w:val="bullet"/>
      <w:lvlText w:val="-"/>
      <w:lvlJc w:val="left"/>
      <w:pPr>
        <w:tabs>
          <w:tab w:val="num" w:pos="5760"/>
        </w:tabs>
        <w:ind w:left="5760" w:hanging="360"/>
      </w:pPr>
      <w:rPr>
        <w:rFonts w:ascii="Calibri" w:hAnsi="Calibri" w:hint="default"/>
      </w:rPr>
    </w:lvl>
    <w:lvl w:ilvl="8" w:tplc="01DA694C"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35"/>
    <w:rsid w:val="002B587A"/>
    <w:rsid w:val="00304135"/>
    <w:rsid w:val="003B73E0"/>
    <w:rsid w:val="005536B3"/>
    <w:rsid w:val="008022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8E3385"/>
  <w15:chartTrackingRefBased/>
  <w15:docId w15:val="{DDAA7B8C-ED10-42A7-8949-58113F69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3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135"/>
    <w:pPr>
      <w:ind w:left="720"/>
      <w:contextualSpacing/>
    </w:pPr>
  </w:style>
  <w:style w:type="paragraph" w:styleId="En-tte">
    <w:name w:val="header"/>
    <w:basedOn w:val="Normal"/>
    <w:link w:val="En-tteCar"/>
    <w:uiPriority w:val="99"/>
    <w:unhideWhenUsed/>
    <w:rsid w:val="005536B3"/>
    <w:pPr>
      <w:tabs>
        <w:tab w:val="center" w:pos="4536"/>
        <w:tab w:val="right" w:pos="9072"/>
      </w:tabs>
    </w:pPr>
  </w:style>
  <w:style w:type="character" w:customStyle="1" w:styleId="En-tteCar">
    <w:name w:val="En-tête Car"/>
    <w:basedOn w:val="Policepardfaut"/>
    <w:link w:val="En-tte"/>
    <w:uiPriority w:val="99"/>
    <w:rsid w:val="005536B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536B3"/>
    <w:pPr>
      <w:tabs>
        <w:tab w:val="center" w:pos="4536"/>
        <w:tab w:val="right" w:pos="9072"/>
      </w:tabs>
    </w:pPr>
  </w:style>
  <w:style w:type="character" w:customStyle="1" w:styleId="PieddepageCar">
    <w:name w:val="Pied de page Car"/>
    <w:basedOn w:val="Policepardfaut"/>
    <w:link w:val="Pieddepage"/>
    <w:uiPriority w:val="99"/>
    <w:rsid w:val="005536B3"/>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536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824</Words>
  <Characters>4532</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Hanouna</dc:creator>
  <cp:keywords/>
  <dc:description/>
  <cp:lastModifiedBy>Hanouna</cp:lastModifiedBy>
  <cp:revision>2</cp:revision>
  <dcterms:created xsi:type="dcterms:W3CDTF">2021-05-22T23:18:00Z</dcterms:created>
  <dcterms:modified xsi:type="dcterms:W3CDTF">2021-05-22T23:31:00Z</dcterms:modified>
</cp:coreProperties>
</file>