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80" w:rightFromText="180" w:horzAnchor="margin" w:tblpY="-526"/>
        <w:tblW w:w="958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861"/>
        <w:gridCol w:w="2367"/>
        <w:gridCol w:w="3359"/>
      </w:tblGrid>
      <w:tr w:rsidR="007A3B70" w:rsidRPr="008F5696" w:rsidTr="00224F35">
        <w:trPr>
          <w:trHeight w:val="839"/>
        </w:trPr>
        <w:tc>
          <w:tcPr>
            <w:tcW w:w="3861" w:type="dxa"/>
            <w:vAlign w:val="center"/>
          </w:tcPr>
          <w:p w:rsidR="007A3B70" w:rsidRPr="00013EFD" w:rsidRDefault="007A3B70" w:rsidP="00224F35">
            <w:pPr>
              <w:pStyle w:val="En-tt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13EF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Université Mohamed </w:t>
            </w:r>
            <w:proofErr w:type="spellStart"/>
            <w:r w:rsidRPr="00013EF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Khider</w:t>
            </w:r>
            <w:proofErr w:type="spellEnd"/>
            <w:r w:rsidRPr="00013EF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Biskra</w:t>
            </w:r>
          </w:p>
          <w:p w:rsidR="007A3B70" w:rsidRPr="00013EFD" w:rsidRDefault="007A3B70" w:rsidP="00224F35">
            <w:pPr>
              <w:pStyle w:val="En-tt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13EF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Faculté des sciences et de la technologie</w:t>
            </w:r>
          </w:p>
          <w:p w:rsidR="007A3B70" w:rsidRPr="00550A4B" w:rsidRDefault="007A3B70" w:rsidP="00224F35">
            <w:pPr>
              <w:pStyle w:val="En-tte"/>
              <w:rPr>
                <w:rFonts w:asciiTheme="majorBidi" w:hAnsiTheme="majorBidi" w:cstheme="majorBidi"/>
                <w:b/>
                <w:bCs/>
              </w:rPr>
            </w:pPr>
            <w:r w:rsidRPr="00013EF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Département de génie civil et hydraulique</w:t>
            </w:r>
          </w:p>
        </w:tc>
        <w:tc>
          <w:tcPr>
            <w:tcW w:w="2367" w:type="dxa"/>
            <w:vAlign w:val="center"/>
          </w:tcPr>
          <w:p w:rsidR="007A3B70" w:rsidRPr="00FE0E55" w:rsidRDefault="007A3B70" w:rsidP="00224F35">
            <w:pPr>
              <w:pStyle w:val="En-tte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  <w:vAlign w:val="center"/>
          </w:tcPr>
          <w:p w:rsidR="007A3B70" w:rsidRDefault="007A3B70" w:rsidP="00224F35">
            <w:pPr>
              <w:pStyle w:val="En-tt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13EF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hargée de la matière</w:t>
            </w:r>
            <w:r w:rsidRPr="00013EF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 :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CHADLI MOUNIRA</w:t>
            </w:r>
          </w:p>
          <w:p w:rsidR="007A3B70" w:rsidRDefault="007A3B70" w:rsidP="00224F35">
            <w:pPr>
              <w:pStyle w:val="En-tt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Niveau : 3LMGC  (S6)</w:t>
            </w:r>
          </w:p>
          <w:p w:rsidR="007A3B70" w:rsidRPr="00FF01E3" w:rsidRDefault="007A3B70" w:rsidP="00224F35">
            <w:pPr>
              <w:pStyle w:val="En-tt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Matière : Constructions métalliques</w:t>
            </w:r>
          </w:p>
        </w:tc>
      </w:tr>
    </w:tbl>
    <w:p w:rsidR="007A3B70" w:rsidRDefault="007A3B70" w:rsidP="007A3B70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A3B70" w:rsidRDefault="007A3B70" w:rsidP="00833E48">
      <w:pPr>
        <w:spacing w:after="120" w:line="360" w:lineRule="auto"/>
        <w:jc w:val="center"/>
        <w:rPr>
          <w:rFonts w:asciiTheme="majorBidi" w:hAnsiTheme="majorBidi" w:cstheme="majorBidi"/>
        </w:rPr>
      </w:pPr>
      <w:r w:rsidRPr="00137458">
        <w:rPr>
          <w:rFonts w:asciiTheme="majorBidi" w:hAnsiTheme="majorBidi" w:cstheme="majorBidi"/>
          <w:b/>
          <w:bCs/>
          <w:sz w:val="24"/>
          <w:szCs w:val="24"/>
        </w:rPr>
        <w:t>Série N°</w:t>
      </w: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137458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137458">
        <w:rPr>
          <w:rFonts w:asciiTheme="majorBidi" w:hAnsiTheme="majorBidi" w:cstheme="majorBidi"/>
          <w:sz w:val="24"/>
          <w:szCs w:val="24"/>
        </w:rPr>
        <w:t xml:space="preserve"> </w:t>
      </w:r>
      <w:r w:rsidRPr="00721B71">
        <w:rPr>
          <w:rFonts w:asciiTheme="majorBidi" w:hAnsiTheme="majorBidi" w:cstheme="majorBidi"/>
          <w:b/>
          <w:bCs/>
          <w:sz w:val="24"/>
          <w:szCs w:val="24"/>
        </w:rPr>
        <w:t xml:space="preserve">CHAPITRE </w:t>
      </w:r>
      <w:r w:rsidR="00833E48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721B71"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  <w:r w:rsidRPr="007A3B70">
        <w:rPr>
          <w:rFonts w:asciiTheme="majorBidi" w:hAnsiTheme="majorBidi" w:cstheme="majorBidi"/>
          <w:b/>
          <w:bCs/>
        </w:rPr>
        <w:t>LE DEVERSEMENT</w:t>
      </w:r>
      <w:r>
        <w:rPr>
          <w:rFonts w:asciiTheme="majorBidi" w:hAnsiTheme="majorBidi" w:cstheme="majorBidi"/>
          <w:b/>
          <w:bCs/>
          <w:i/>
          <w:iCs/>
        </w:rPr>
        <w:t xml:space="preserve"> </w:t>
      </w:r>
    </w:p>
    <w:p w:rsidR="007A3B70" w:rsidRDefault="007A3B70" w:rsidP="007A3B70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A3B70" w:rsidRDefault="007A3B70" w:rsidP="007A3B70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A3B70" w:rsidRPr="005A52BD" w:rsidRDefault="007A3B70" w:rsidP="007A3B70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</w:rPr>
        <w:t>EXEMPLE1 :</w:t>
      </w:r>
    </w:p>
    <w:p w:rsidR="007A3B70" w:rsidRPr="005A52BD" w:rsidRDefault="007A3B70" w:rsidP="00812008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5A52BD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On considère une poutre constituée </w:t>
      </w:r>
      <w:r w:rsidRPr="005A52BD">
        <w:rPr>
          <w:rFonts w:asciiTheme="majorBidi" w:eastAsia="Garamond-Identity-H" w:hAnsiTheme="majorBidi" w:cstheme="majorBidi"/>
          <w:sz w:val="24"/>
          <w:szCs w:val="24"/>
          <w:lang w:eastAsia="en-US"/>
        </w:rPr>
        <w:t xml:space="preserve">d’un </w:t>
      </w:r>
      <w:r w:rsidRPr="005A52BD">
        <w:rPr>
          <w:rFonts w:asciiTheme="majorBidi" w:eastAsiaTheme="minorHAnsi" w:hAnsiTheme="majorBidi" w:cstheme="majorBidi"/>
          <w:sz w:val="24"/>
          <w:szCs w:val="24"/>
          <w:lang w:eastAsia="en-US"/>
        </w:rPr>
        <w:t>IPE2</w:t>
      </w:r>
      <w:r w:rsidR="00812008">
        <w:rPr>
          <w:rFonts w:asciiTheme="majorBidi" w:eastAsiaTheme="minorHAnsi" w:hAnsiTheme="majorBidi" w:cstheme="majorBidi"/>
          <w:sz w:val="24"/>
          <w:szCs w:val="24"/>
          <w:lang w:eastAsia="en-US"/>
        </w:rPr>
        <w:t>0</w:t>
      </w:r>
      <w:r w:rsidRPr="005A52BD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0 </w:t>
      </w:r>
      <w:r w:rsidRPr="005A52BD">
        <w:rPr>
          <w:rFonts w:asciiTheme="majorBidi" w:eastAsia="Garamond-Identity-H" w:hAnsiTheme="majorBidi" w:cstheme="majorBidi"/>
          <w:sz w:val="24"/>
          <w:szCs w:val="24"/>
          <w:lang w:eastAsia="en-US"/>
        </w:rPr>
        <w:t xml:space="preserve">d’une </w:t>
      </w:r>
      <w:r w:rsidRPr="005A52BD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portée de </w:t>
      </w:r>
      <w:r w:rsidR="00824128">
        <w:rPr>
          <w:rFonts w:asciiTheme="majorBidi" w:eastAsiaTheme="minorHAnsi" w:hAnsiTheme="majorBidi" w:cstheme="majorBidi"/>
          <w:sz w:val="24"/>
          <w:szCs w:val="24"/>
          <w:lang w:eastAsia="en-US"/>
        </w:rPr>
        <w:t>4.5</w:t>
      </w:r>
      <w:r w:rsidRPr="005A52BD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m</w:t>
      </w: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  <w:r w:rsidRPr="005A52BD">
        <w:rPr>
          <w:rFonts w:asciiTheme="majorBidi" w:eastAsiaTheme="minorHAnsi" w:hAnsiTheme="majorBidi" w:cstheme="majorBidi"/>
          <w:sz w:val="24"/>
          <w:szCs w:val="24"/>
          <w:lang w:eastAsia="en-US"/>
        </w:rPr>
        <w:t>sur appuis simples, soumise à une charge uniformément répartie. Calculer le moment critique de déversement élastique pour les trois</w:t>
      </w: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  <w:r w:rsidRPr="005A52BD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positions </w:t>
      </w:r>
      <w:r w:rsidRPr="005A52BD">
        <w:rPr>
          <w:rFonts w:asciiTheme="majorBidi" w:eastAsia="Garamond-Identity-H" w:hAnsiTheme="majorBidi" w:cstheme="majorBidi"/>
          <w:sz w:val="24"/>
          <w:szCs w:val="24"/>
          <w:lang w:eastAsia="en-US"/>
        </w:rPr>
        <w:t xml:space="preserve">d’application </w:t>
      </w:r>
      <w:r w:rsidRPr="005A52BD">
        <w:rPr>
          <w:rFonts w:asciiTheme="majorBidi" w:eastAsiaTheme="minorHAnsi" w:hAnsiTheme="majorBidi" w:cstheme="majorBidi"/>
          <w:sz w:val="24"/>
          <w:szCs w:val="24"/>
          <w:lang w:eastAsia="en-US"/>
        </w:rPr>
        <w:t>de la charge suivantes :</w:t>
      </w:r>
    </w:p>
    <w:p w:rsidR="007A3B70" w:rsidRPr="005A52BD" w:rsidRDefault="007A3B70" w:rsidP="007A3B70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5A52BD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- sous </w:t>
      </w:r>
      <w:r w:rsidRPr="005A52BD">
        <w:rPr>
          <w:rFonts w:asciiTheme="majorBidi" w:eastAsia="Garamond-Identity-H" w:hAnsiTheme="majorBidi" w:cstheme="majorBidi"/>
          <w:sz w:val="24"/>
          <w:szCs w:val="24"/>
          <w:lang w:eastAsia="en-US"/>
        </w:rPr>
        <w:t xml:space="preserve">l’aile </w:t>
      </w:r>
      <w:r w:rsidRPr="005A52BD">
        <w:rPr>
          <w:rFonts w:asciiTheme="majorBidi" w:eastAsiaTheme="minorHAnsi" w:hAnsiTheme="majorBidi" w:cstheme="majorBidi"/>
          <w:sz w:val="24"/>
          <w:szCs w:val="24"/>
          <w:lang w:eastAsia="en-US"/>
        </w:rPr>
        <w:t>inférieure,</w:t>
      </w:r>
    </w:p>
    <w:p w:rsidR="007A3B70" w:rsidRPr="005A52BD" w:rsidRDefault="007A3B70" w:rsidP="007A3B70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5A52BD">
        <w:rPr>
          <w:rFonts w:asciiTheme="majorBidi" w:eastAsiaTheme="minorHAnsi" w:hAnsiTheme="majorBidi" w:cstheme="majorBidi"/>
          <w:sz w:val="24"/>
          <w:szCs w:val="24"/>
          <w:lang w:eastAsia="en-US"/>
        </w:rPr>
        <w:t>- au centre de cisaillement,</w:t>
      </w:r>
    </w:p>
    <w:p w:rsidR="007A3B70" w:rsidRDefault="007A3B70" w:rsidP="007A3B70">
      <w:pPr>
        <w:spacing w:line="360" w:lineRule="auto"/>
        <w:jc w:val="both"/>
        <w:rPr>
          <w:rFonts w:asciiTheme="majorBidi" w:eastAsia="Garamond" w:hAnsiTheme="majorBidi" w:cstheme="majorBidi"/>
          <w:sz w:val="24"/>
          <w:szCs w:val="24"/>
        </w:rPr>
      </w:pPr>
      <w:r w:rsidRPr="005A52BD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- sur </w:t>
      </w:r>
      <w:r w:rsidRPr="005A52BD">
        <w:rPr>
          <w:rFonts w:asciiTheme="majorBidi" w:eastAsia="Garamond-Identity-H" w:hAnsiTheme="majorBidi" w:cstheme="majorBidi"/>
          <w:sz w:val="24"/>
          <w:szCs w:val="24"/>
          <w:lang w:eastAsia="en-US"/>
        </w:rPr>
        <w:t xml:space="preserve">l’aile </w:t>
      </w:r>
      <w:r w:rsidRPr="005A52BD">
        <w:rPr>
          <w:rFonts w:asciiTheme="majorBidi" w:eastAsiaTheme="minorHAnsi" w:hAnsiTheme="majorBidi" w:cstheme="majorBidi"/>
          <w:sz w:val="24"/>
          <w:szCs w:val="24"/>
          <w:lang w:eastAsia="en-US"/>
        </w:rPr>
        <w:t>supérieure.</w:t>
      </w:r>
    </w:p>
    <w:p w:rsidR="007A3B70" w:rsidRDefault="007A3B70" w:rsidP="007A3B70">
      <w:pPr>
        <w:rPr>
          <w:rFonts w:asciiTheme="majorBidi" w:eastAsia="Garamond" w:hAnsiTheme="majorBidi" w:cstheme="majorBidi"/>
          <w:sz w:val="24"/>
          <w:szCs w:val="24"/>
        </w:rPr>
      </w:pPr>
    </w:p>
    <w:p w:rsidR="007A3B70" w:rsidRDefault="007A3B70" w:rsidP="007A3B70">
      <w:pPr>
        <w:jc w:val="center"/>
        <w:rPr>
          <w:rFonts w:asciiTheme="majorBidi" w:eastAsia="Garamond" w:hAnsiTheme="majorBidi" w:cstheme="majorBidi"/>
          <w:sz w:val="24"/>
          <w:szCs w:val="24"/>
        </w:rPr>
      </w:pPr>
      <w:r>
        <w:rPr>
          <w:rFonts w:asciiTheme="majorBidi" w:eastAsia="Garamond" w:hAnsiTheme="majorBidi" w:cstheme="majorBidi"/>
          <w:noProof/>
          <w:sz w:val="24"/>
          <w:szCs w:val="24"/>
        </w:rPr>
        <w:drawing>
          <wp:inline distT="0" distB="0" distL="0" distR="0">
            <wp:extent cx="5445794" cy="1614422"/>
            <wp:effectExtent l="19050" t="0" r="2506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47" cy="1614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B70" w:rsidRDefault="007A3B70" w:rsidP="007A3B70">
      <w:pPr>
        <w:rPr>
          <w:rFonts w:asciiTheme="majorBidi" w:eastAsia="Garamond" w:hAnsiTheme="majorBidi" w:cstheme="majorBidi"/>
          <w:sz w:val="24"/>
          <w:szCs w:val="24"/>
        </w:rPr>
      </w:pPr>
    </w:p>
    <w:p w:rsidR="007A3B70" w:rsidRDefault="007A3B70" w:rsidP="007A3B70">
      <w:pPr>
        <w:ind w:firstLine="708"/>
        <w:rPr>
          <w:rFonts w:asciiTheme="majorBidi" w:eastAsia="Garamond" w:hAnsiTheme="majorBidi" w:cstheme="majorBidi"/>
          <w:sz w:val="24"/>
          <w:szCs w:val="24"/>
        </w:rPr>
      </w:pPr>
    </w:p>
    <w:p w:rsidR="007A3B70" w:rsidRDefault="007A3B70" w:rsidP="007A3B70">
      <w:pPr>
        <w:ind w:firstLine="708"/>
        <w:rPr>
          <w:rFonts w:asciiTheme="majorBidi" w:eastAsia="Garamond" w:hAnsiTheme="majorBidi" w:cstheme="majorBidi"/>
          <w:sz w:val="24"/>
          <w:szCs w:val="24"/>
        </w:rPr>
      </w:pPr>
    </w:p>
    <w:p w:rsidR="007A3B70" w:rsidRDefault="007A3B70" w:rsidP="007A3B70">
      <w:pPr>
        <w:ind w:firstLine="708"/>
        <w:rPr>
          <w:rFonts w:asciiTheme="majorBidi" w:eastAsia="Garamond" w:hAnsiTheme="majorBidi" w:cstheme="majorBidi"/>
          <w:sz w:val="24"/>
          <w:szCs w:val="24"/>
        </w:rPr>
      </w:pPr>
    </w:p>
    <w:p w:rsidR="007A3B70" w:rsidRDefault="007A3B70" w:rsidP="007A3B70">
      <w:pPr>
        <w:ind w:firstLine="708"/>
        <w:rPr>
          <w:rFonts w:asciiTheme="majorBidi" w:eastAsia="Garamond" w:hAnsiTheme="majorBidi" w:cstheme="majorBidi"/>
          <w:sz w:val="24"/>
          <w:szCs w:val="24"/>
        </w:rPr>
      </w:pPr>
    </w:p>
    <w:p w:rsidR="007A3B70" w:rsidRPr="001F7890" w:rsidRDefault="007A3B70" w:rsidP="007A3B70">
      <w:pPr>
        <w:spacing w:line="360" w:lineRule="auto"/>
        <w:jc w:val="both"/>
        <w:rPr>
          <w:rFonts w:asciiTheme="majorBidi" w:eastAsia="Garamond" w:hAnsiTheme="majorBidi" w:cstheme="majorBidi"/>
          <w:b/>
          <w:bCs/>
          <w:sz w:val="24"/>
          <w:szCs w:val="24"/>
        </w:rPr>
      </w:pPr>
      <w:r w:rsidRPr="001F7890">
        <w:rPr>
          <w:rFonts w:asciiTheme="majorBidi" w:eastAsia="Garamond" w:hAnsiTheme="majorBidi" w:cstheme="majorBidi"/>
          <w:b/>
          <w:bCs/>
          <w:sz w:val="24"/>
          <w:szCs w:val="24"/>
        </w:rPr>
        <w:t>EXEMPLE 2 :</w:t>
      </w:r>
    </w:p>
    <w:p w:rsidR="007A3B70" w:rsidRPr="001F7890" w:rsidRDefault="007A3B70" w:rsidP="007A3B70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1F7890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On considère une poutre constituée </w:t>
      </w:r>
      <w:r w:rsidRPr="001F7890">
        <w:rPr>
          <w:rFonts w:asciiTheme="majorBidi" w:eastAsia="Garamond-Identity-H" w:hAnsiTheme="majorBidi" w:cstheme="majorBidi"/>
          <w:sz w:val="24"/>
          <w:szCs w:val="24"/>
          <w:lang w:eastAsia="en-US"/>
        </w:rPr>
        <w:t xml:space="preserve">d’un </w:t>
      </w:r>
      <w:r w:rsidRPr="001F7890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IPE220 </w:t>
      </w:r>
      <w:r w:rsidRPr="001F7890">
        <w:rPr>
          <w:rFonts w:asciiTheme="majorBidi" w:eastAsia="Garamond-Identity-H" w:hAnsiTheme="majorBidi" w:cstheme="majorBidi"/>
          <w:sz w:val="24"/>
          <w:szCs w:val="24"/>
          <w:lang w:eastAsia="en-US"/>
        </w:rPr>
        <w:t xml:space="preserve">d’une </w:t>
      </w:r>
      <w:r w:rsidRPr="001F7890">
        <w:rPr>
          <w:rFonts w:asciiTheme="majorBidi" w:eastAsiaTheme="minorHAnsi" w:hAnsiTheme="majorBidi" w:cstheme="majorBidi"/>
          <w:sz w:val="24"/>
          <w:szCs w:val="24"/>
          <w:lang w:eastAsia="en-US"/>
        </w:rPr>
        <w:t>portée de 5 m</w:t>
      </w: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, </w:t>
      </w:r>
      <w:r w:rsidRPr="001F7890">
        <w:rPr>
          <w:rFonts w:asciiTheme="majorBidi" w:eastAsiaTheme="minorHAnsi" w:hAnsiTheme="majorBidi" w:cstheme="majorBidi"/>
          <w:sz w:val="24"/>
          <w:szCs w:val="24"/>
          <w:lang w:eastAsia="en-US"/>
        </w:rPr>
        <w:t>assemblée aux extrémités à deux poteaux. Elle est soumise à une charge</w:t>
      </w: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  <w:r w:rsidRPr="001F7890">
        <w:rPr>
          <w:rFonts w:asciiTheme="majorBidi" w:eastAsiaTheme="minorHAnsi" w:hAnsiTheme="majorBidi" w:cstheme="majorBidi"/>
          <w:sz w:val="24"/>
          <w:szCs w:val="24"/>
          <w:lang w:eastAsia="en-US"/>
        </w:rPr>
        <w:t>uniformément répartie appliquée au centre de cisaillement.</w:t>
      </w:r>
    </w:p>
    <w:p w:rsidR="007A3B70" w:rsidRPr="001F7890" w:rsidRDefault="007A3B70" w:rsidP="007A3B70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1F7890">
        <w:rPr>
          <w:rFonts w:asciiTheme="majorBidi" w:eastAsiaTheme="minorHAnsi" w:hAnsiTheme="majorBidi" w:cstheme="majorBidi"/>
          <w:sz w:val="24"/>
          <w:szCs w:val="24"/>
          <w:lang w:eastAsia="en-US"/>
        </w:rPr>
        <w:t>Calculer le moment critique de déversement élastique en fonction des</w:t>
      </w: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  <w:r w:rsidRPr="001F7890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conditions </w:t>
      </w:r>
      <w:r w:rsidRPr="001F7890">
        <w:rPr>
          <w:rFonts w:asciiTheme="majorBidi" w:eastAsia="Garamond-Identity-H" w:hAnsiTheme="majorBidi" w:cstheme="majorBidi"/>
          <w:sz w:val="24"/>
          <w:szCs w:val="24"/>
          <w:lang w:eastAsia="en-US"/>
        </w:rPr>
        <w:t xml:space="preserve">d’appui </w:t>
      </w:r>
      <w:r w:rsidRPr="001F7890">
        <w:rPr>
          <w:rFonts w:asciiTheme="majorBidi" w:eastAsiaTheme="minorHAnsi" w:hAnsiTheme="majorBidi" w:cstheme="majorBidi"/>
          <w:sz w:val="24"/>
          <w:szCs w:val="24"/>
          <w:lang w:eastAsia="en-US"/>
        </w:rPr>
        <w:t>suivantes :</w:t>
      </w:r>
    </w:p>
    <w:p w:rsidR="007A3B70" w:rsidRPr="001F7890" w:rsidRDefault="007A3B70" w:rsidP="007A3B70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1F7890">
        <w:rPr>
          <w:rFonts w:asciiTheme="majorBidi" w:eastAsiaTheme="minorHAnsi" w:hAnsiTheme="majorBidi" w:cstheme="majorBidi"/>
          <w:sz w:val="24"/>
          <w:szCs w:val="24"/>
          <w:lang w:eastAsia="en-US"/>
        </w:rPr>
        <w:t>- liaison poutre-poteau articulée (attache par cornières),</w:t>
      </w:r>
    </w:p>
    <w:p w:rsidR="007A3B70" w:rsidRPr="001F7890" w:rsidRDefault="007A3B70" w:rsidP="007A3B70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1F7890">
        <w:rPr>
          <w:rFonts w:asciiTheme="majorBidi" w:eastAsiaTheme="minorHAnsi" w:hAnsiTheme="majorBidi" w:cstheme="majorBidi"/>
          <w:sz w:val="24"/>
          <w:szCs w:val="24"/>
          <w:lang w:eastAsia="en-US"/>
        </w:rPr>
        <w:t>- liaison poutre-poteau semi-rigide (attache par plaque frontale</w:t>
      </w: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  <w:r w:rsidRPr="001F7890">
        <w:rPr>
          <w:rFonts w:asciiTheme="majorBidi" w:eastAsiaTheme="minorHAnsi" w:hAnsiTheme="majorBidi" w:cstheme="majorBidi"/>
          <w:sz w:val="24"/>
          <w:szCs w:val="24"/>
          <w:lang w:eastAsia="en-US"/>
        </w:rPr>
        <w:t>boulonnée),</w:t>
      </w:r>
    </w:p>
    <w:p w:rsidR="007A3B70" w:rsidRDefault="007A3B70" w:rsidP="007A3B70">
      <w:pPr>
        <w:spacing w:line="360" w:lineRule="auto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1F7890">
        <w:rPr>
          <w:rFonts w:asciiTheme="majorBidi" w:eastAsiaTheme="minorHAnsi" w:hAnsiTheme="majorBidi" w:cstheme="majorBidi"/>
          <w:sz w:val="24"/>
          <w:szCs w:val="24"/>
          <w:lang w:eastAsia="en-US"/>
        </w:rPr>
        <w:t>- liaison poutre-poteau rigide (attache soudée).</w:t>
      </w:r>
    </w:p>
    <w:p w:rsidR="007A3B70" w:rsidRDefault="007A3B70" w:rsidP="007A3B70">
      <w:pPr>
        <w:spacing w:line="360" w:lineRule="auto"/>
        <w:jc w:val="center"/>
        <w:rPr>
          <w:rFonts w:asciiTheme="majorBidi" w:eastAsia="Garamond" w:hAnsiTheme="majorBidi" w:cstheme="majorBidi"/>
          <w:sz w:val="24"/>
          <w:szCs w:val="24"/>
        </w:rPr>
      </w:pPr>
      <w:r>
        <w:rPr>
          <w:rFonts w:asciiTheme="majorBidi" w:eastAsia="Garamond" w:hAnsiTheme="majorBidi" w:cstheme="majorBidi"/>
          <w:noProof/>
          <w:sz w:val="24"/>
          <w:szCs w:val="24"/>
        </w:rPr>
        <w:drawing>
          <wp:inline distT="0" distB="0" distL="0" distR="0">
            <wp:extent cx="6406463" cy="1655806"/>
            <wp:effectExtent l="19050" t="0" r="0" b="0"/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517" cy="165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B70" w:rsidRPr="00135C28" w:rsidRDefault="007A3B70" w:rsidP="007A3B70">
      <w:pPr>
        <w:rPr>
          <w:rFonts w:asciiTheme="majorBidi" w:eastAsia="Garamond" w:hAnsiTheme="majorBidi" w:cstheme="majorBidi"/>
          <w:sz w:val="24"/>
          <w:szCs w:val="24"/>
        </w:rPr>
      </w:pPr>
    </w:p>
    <w:p w:rsidR="007A3B70" w:rsidRPr="00135C28" w:rsidRDefault="007A3B70" w:rsidP="007A3B70">
      <w:pPr>
        <w:rPr>
          <w:rFonts w:asciiTheme="majorBidi" w:eastAsia="Garamond" w:hAnsiTheme="majorBidi" w:cstheme="majorBidi"/>
          <w:sz w:val="24"/>
          <w:szCs w:val="24"/>
        </w:rPr>
      </w:pPr>
    </w:p>
    <w:p w:rsidR="007A3B70" w:rsidRDefault="007A3B70" w:rsidP="007A3B70">
      <w:pPr>
        <w:spacing w:line="360" w:lineRule="auto"/>
        <w:jc w:val="both"/>
        <w:rPr>
          <w:rFonts w:asciiTheme="majorBidi" w:eastAsia="Garamond" w:hAnsiTheme="majorBidi" w:cstheme="majorBidi"/>
          <w:b/>
          <w:bCs/>
          <w:sz w:val="24"/>
          <w:szCs w:val="24"/>
        </w:rPr>
      </w:pPr>
    </w:p>
    <w:p w:rsidR="007A3B70" w:rsidRPr="00135C28" w:rsidRDefault="007A3B70" w:rsidP="007A3B70">
      <w:pPr>
        <w:spacing w:line="360" w:lineRule="auto"/>
        <w:jc w:val="both"/>
        <w:rPr>
          <w:rFonts w:asciiTheme="majorBidi" w:eastAsia="Garamond" w:hAnsiTheme="majorBidi" w:cstheme="majorBidi"/>
          <w:b/>
          <w:bCs/>
          <w:sz w:val="24"/>
          <w:szCs w:val="24"/>
        </w:rPr>
      </w:pPr>
      <w:r w:rsidRPr="00135C28">
        <w:rPr>
          <w:rFonts w:asciiTheme="majorBidi" w:eastAsia="Garamond" w:hAnsiTheme="majorBidi" w:cstheme="majorBidi"/>
          <w:b/>
          <w:bCs/>
          <w:sz w:val="24"/>
          <w:szCs w:val="24"/>
        </w:rPr>
        <w:lastRenderedPageBreak/>
        <w:t>EXEMPLE 3 :</w:t>
      </w:r>
    </w:p>
    <w:p w:rsidR="007A3B70" w:rsidRPr="00135C28" w:rsidRDefault="007A3B70" w:rsidP="00824128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135C28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On considère une poutre constituée </w:t>
      </w:r>
      <w:r w:rsidRPr="00135C28">
        <w:rPr>
          <w:rFonts w:asciiTheme="majorBidi" w:eastAsia="Garamond-Identity-H" w:hAnsiTheme="majorBidi" w:cstheme="majorBidi"/>
          <w:sz w:val="24"/>
          <w:szCs w:val="24"/>
          <w:lang w:eastAsia="en-US"/>
        </w:rPr>
        <w:t xml:space="preserve">d’un </w:t>
      </w:r>
      <w:r w:rsidRPr="00135C28">
        <w:rPr>
          <w:rFonts w:asciiTheme="majorBidi" w:eastAsiaTheme="minorHAnsi" w:hAnsiTheme="majorBidi" w:cstheme="majorBidi"/>
          <w:sz w:val="24"/>
          <w:szCs w:val="24"/>
          <w:lang w:eastAsia="en-US"/>
        </w:rPr>
        <w:t>IPE</w:t>
      </w:r>
      <w:r w:rsidR="00824128">
        <w:rPr>
          <w:rFonts w:asciiTheme="majorBidi" w:eastAsiaTheme="minorHAnsi" w:hAnsiTheme="majorBidi" w:cstheme="majorBidi"/>
          <w:sz w:val="24"/>
          <w:szCs w:val="24"/>
          <w:lang w:eastAsia="en-US"/>
        </w:rPr>
        <w:t>180</w:t>
      </w:r>
      <w:r w:rsidRPr="00135C28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  <w:r w:rsidRPr="00135C28">
        <w:rPr>
          <w:rFonts w:asciiTheme="majorBidi" w:eastAsia="Garamond-Identity-H" w:hAnsiTheme="majorBidi" w:cstheme="majorBidi"/>
          <w:sz w:val="24"/>
          <w:szCs w:val="24"/>
          <w:lang w:eastAsia="en-US"/>
        </w:rPr>
        <w:t xml:space="preserve">d’une </w:t>
      </w:r>
      <w:r w:rsidRPr="00135C28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portée de </w:t>
      </w:r>
      <w:r w:rsidR="00824128">
        <w:rPr>
          <w:rFonts w:asciiTheme="majorBidi" w:eastAsiaTheme="minorHAnsi" w:hAnsiTheme="majorBidi" w:cstheme="majorBidi"/>
          <w:sz w:val="24"/>
          <w:szCs w:val="24"/>
          <w:lang w:eastAsia="en-US"/>
        </w:rPr>
        <w:t>4.5</w:t>
      </w:r>
      <w:r w:rsidRPr="00135C28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m.</w:t>
      </w: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  <w:r w:rsidRPr="00135C28">
        <w:rPr>
          <w:rFonts w:asciiTheme="majorBidi" w:eastAsiaTheme="minorHAnsi" w:hAnsiTheme="majorBidi" w:cstheme="majorBidi"/>
          <w:sz w:val="24"/>
          <w:szCs w:val="24"/>
          <w:lang w:eastAsia="en-US"/>
        </w:rPr>
        <w:t>Elle est soumise à une charge uniformément répartie appliquée au</w:t>
      </w: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  <w:r w:rsidRPr="00135C28">
        <w:rPr>
          <w:rFonts w:asciiTheme="majorBidi" w:eastAsiaTheme="minorHAnsi" w:hAnsiTheme="majorBidi" w:cstheme="majorBidi"/>
          <w:sz w:val="24"/>
          <w:szCs w:val="24"/>
          <w:lang w:eastAsia="en-US"/>
        </w:rPr>
        <w:t>centre de cisaillement.</w:t>
      </w:r>
    </w:p>
    <w:p w:rsidR="007A3B70" w:rsidRPr="00135C28" w:rsidRDefault="007A3B70" w:rsidP="007A3B70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135C28">
        <w:rPr>
          <w:rFonts w:asciiTheme="majorBidi" w:eastAsiaTheme="minorHAnsi" w:hAnsiTheme="majorBidi" w:cstheme="majorBidi"/>
          <w:sz w:val="24"/>
          <w:szCs w:val="24"/>
          <w:lang w:eastAsia="en-US"/>
        </w:rPr>
        <w:t>Calculer le moment critique de déversement élastique pour les deux cas</w:t>
      </w: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  <w:r w:rsidRPr="00135C28">
        <w:rPr>
          <w:rFonts w:asciiTheme="majorBidi" w:eastAsiaTheme="minorHAnsi" w:hAnsiTheme="majorBidi" w:cstheme="majorBidi"/>
          <w:sz w:val="24"/>
          <w:szCs w:val="24"/>
          <w:lang w:eastAsia="en-US"/>
        </w:rPr>
        <w:t>suivants :</w:t>
      </w:r>
    </w:p>
    <w:p w:rsidR="007A3B70" w:rsidRPr="00135C28" w:rsidRDefault="007A3B70" w:rsidP="007A3B70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135C28">
        <w:rPr>
          <w:rFonts w:asciiTheme="majorBidi" w:eastAsiaTheme="minorHAnsi" w:hAnsiTheme="majorBidi" w:cstheme="majorBidi"/>
          <w:sz w:val="24"/>
          <w:szCs w:val="24"/>
          <w:lang w:eastAsia="en-US"/>
        </w:rPr>
        <w:t>- avec un appui latéral intermédiaire à mi-portée,</w:t>
      </w:r>
    </w:p>
    <w:p w:rsidR="007A3B70" w:rsidRDefault="007A3B70" w:rsidP="007A3B70">
      <w:pPr>
        <w:spacing w:line="360" w:lineRule="auto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135C28">
        <w:rPr>
          <w:rFonts w:asciiTheme="majorBidi" w:eastAsiaTheme="minorHAnsi" w:hAnsiTheme="majorBidi" w:cstheme="majorBidi"/>
          <w:sz w:val="24"/>
          <w:szCs w:val="24"/>
          <w:lang w:eastAsia="en-US"/>
        </w:rPr>
        <w:t>- sans appui latéral intermédiaire.</w:t>
      </w:r>
    </w:p>
    <w:p w:rsidR="007A3B70" w:rsidRDefault="007A3B70" w:rsidP="007A3B70">
      <w:pPr>
        <w:spacing w:line="360" w:lineRule="auto"/>
        <w:jc w:val="center"/>
        <w:rPr>
          <w:rFonts w:asciiTheme="majorBidi" w:eastAsia="Garamond" w:hAnsiTheme="majorBidi" w:cstheme="majorBidi"/>
          <w:sz w:val="24"/>
          <w:szCs w:val="24"/>
        </w:rPr>
      </w:pPr>
      <w:r>
        <w:rPr>
          <w:rFonts w:asciiTheme="majorBidi" w:eastAsia="Garamond" w:hAnsiTheme="majorBidi" w:cstheme="majorBidi"/>
          <w:noProof/>
          <w:sz w:val="24"/>
          <w:szCs w:val="24"/>
        </w:rPr>
        <w:drawing>
          <wp:inline distT="0" distB="0" distL="0" distR="0">
            <wp:extent cx="4997793" cy="1177209"/>
            <wp:effectExtent l="19050" t="0" r="0" b="0"/>
            <wp:docPr id="1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834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B70" w:rsidRPr="006C1599" w:rsidRDefault="007A3B70" w:rsidP="007A3B70">
      <w:pPr>
        <w:rPr>
          <w:rFonts w:asciiTheme="majorBidi" w:eastAsia="Garamond" w:hAnsiTheme="majorBidi" w:cstheme="majorBidi"/>
          <w:sz w:val="24"/>
          <w:szCs w:val="24"/>
        </w:rPr>
      </w:pPr>
    </w:p>
    <w:p w:rsidR="007A3B70" w:rsidRPr="006C1599" w:rsidRDefault="007A3B70" w:rsidP="007A3B70">
      <w:pPr>
        <w:spacing w:line="360" w:lineRule="auto"/>
        <w:jc w:val="both"/>
        <w:rPr>
          <w:rFonts w:asciiTheme="majorBidi" w:eastAsia="Garamond" w:hAnsiTheme="majorBidi" w:cstheme="majorBidi"/>
          <w:b/>
          <w:bCs/>
          <w:sz w:val="24"/>
          <w:szCs w:val="24"/>
        </w:rPr>
      </w:pPr>
      <w:r w:rsidRPr="006C1599">
        <w:rPr>
          <w:rFonts w:asciiTheme="majorBidi" w:eastAsia="Garamond" w:hAnsiTheme="majorBidi" w:cstheme="majorBidi"/>
          <w:b/>
          <w:bCs/>
          <w:sz w:val="24"/>
          <w:szCs w:val="24"/>
        </w:rPr>
        <w:t>EXEMPLE 4 :</w:t>
      </w:r>
    </w:p>
    <w:p w:rsidR="007A3B70" w:rsidRPr="006C1599" w:rsidRDefault="007A3B70" w:rsidP="007A3B70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6C1599">
        <w:rPr>
          <w:rFonts w:asciiTheme="majorBidi" w:eastAsiaTheme="minorHAnsi" w:hAnsiTheme="majorBidi" w:cstheme="majorBidi"/>
          <w:sz w:val="24"/>
          <w:szCs w:val="24"/>
          <w:lang w:eastAsia="en-US"/>
        </w:rPr>
        <w:t>Une poutre HEA400 de 6 m de portée, encastrée à ses deux extrémités</w:t>
      </w: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  <w:r w:rsidRPr="006C1599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en regard de la torsion et de la flexion, supporte son poids propre </w:t>
      </w:r>
      <w:r w:rsidRPr="006C1599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</w:rPr>
        <w:t xml:space="preserve">g </w:t>
      </w:r>
      <w:r w:rsidRPr="006C1599">
        <w:rPr>
          <w:rFonts w:asciiTheme="majorBidi" w:eastAsiaTheme="minorHAnsi" w:hAnsiTheme="majorBidi" w:cstheme="majorBidi"/>
          <w:sz w:val="24"/>
          <w:szCs w:val="24"/>
          <w:lang w:eastAsia="en-US"/>
        </w:rPr>
        <w:t>et</w:t>
      </w: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  <w:r w:rsidRPr="006C1599">
        <w:rPr>
          <w:rFonts w:asciiTheme="majorBidi" w:eastAsiaTheme="minorHAnsi" w:hAnsiTheme="majorBidi" w:cstheme="majorBidi"/>
          <w:sz w:val="24"/>
          <w:szCs w:val="24"/>
          <w:lang w:eastAsia="en-US"/>
        </w:rPr>
        <w:t>en son centre de gravité un palan.</w:t>
      </w:r>
    </w:p>
    <w:p w:rsidR="007A3B70" w:rsidRPr="006C1599" w:rsidRDefault="007A3B70" w:rsidP="007A3B70">
      <w:pPr>
        <w:spacing w:line="360" w:lineRule="auto"/>
        <w:jc w:val="both"/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</w:rPr>
      </w:pPr>
      <w:r w:rsidRPr="006C1599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</w:rPr>
        <w:t>Calculer le moment ultime de déversement de cette poutre.</w:t>
      </w:r>
    </w:p>
    <w:p w:rsidR="007A3B70" w:rsidRDefault="007A3B70" w:rsidP="007A3B70">
      <w:pPr>
        <w:spacing w:line="360" w:lineRule="auto"/>
        <w:ind w:firstLine="708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:rsidR="007A3B70" w:rsidRDefault="007A3B70" w:rsidP="007A3B70">
      <w:pPr>
        <w:spacing w:line="360" w:lineRule="auto"/>
        <w:ind w:firstLine="708"/>
        <w:jc w:val="center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="Garamond" w:hAnsiTheme="majorBidi" w:cstheme="majorBidi"/>
          <w:noProof/>
          <w:sz w:val="24"/>
          <w:szCs w:val="24"/>
        </w:rPr>
        <w:drawing>
          <wp:inline distT="0" distB="0" distL="0" distR="0">
            <wp:extent cx="4973080" cy="2636108"/>
            <wp:effectExtent l="19050" t="0" r="0" b="0"/>
            <wp:docPr id="2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357" cy="26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B70" w:rsidRDefault="007A3B70" w:rsidP="007A3B70">
      <w:pPr>
        <w:spacing w:line="360" w:lineRule="auto"/>
        <w:ind w:firstLine="708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:rsidR="007A3B70" w:rsidRDefault="007A3B70" w:rsidP="007A3B70">
      <w:pPr>
        <w:spacing w:line="360" w:lineRule="auto"/>
        <w:ind w:firstLine="708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:rsidR="007A3B70" w:rsidRDefault="007A3B70" w:rsidP="007A3B70">
      <w:pPr>
        <w:spacing w:line="360" w:lineRule="auto"/>
        <w:ind w:firstLine="708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:rsidR="007A3B70" w:rsidRDefault="007A3B70" w:rsidP="007A3B70">
      <w:pPr>
        <w:spacing w:line="360" w:lineRule="auto"/>
        <w:ind w:firstLine="708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:rsidR="007A3B70" w:rsidRDefault="007A3B70" w:rsidP="007A3B70">
      <w:pPr>
        <w:spacing w:line="360" w:lineRule="auto"/>
        <w:ind w:firstLine="708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:rsidR="007A3B70" w:rsidRDefault="007A3B70" w:rsidP="007A3B70">
      <w:pPr>
        <w:spacing w:line="360" w:lineRule="auto"/>
        <w:ind w:firstLine="708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:rsidR="007A3B70" w:rsidRDefault="007A3B70" w:rsidP="007A3B70">
      <w:pPr>
        <w:spacing w:line="360" w:lineRule="auto"/>
        <w:ind w:firstLine="708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:rsidR="007A3B70" w:rsidRDefault="007A3B70" w:rsidP="007A3B70">
      <w:pPr>
        <w:spacing w:line="360" w:lineRule="auto"/>
        <w:ind w:firstLine="708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:rsidR="007A3B70" w:rsidRPr="006C1599" w:rsidRDefault="007A3B70" w:rsidP="007A3B70">
      <w:pPr>
        <w:spacing w:line="360" w:lineRule="auto"/>
        <w:ind w:firstLine="708"/>
        <w:jc w:val="both"/>
        <w:rPr>
          <w:rFonts w:asciiTheme="majorBidi" w:eastAsia="Garamond" w:hAnsiTheme="majorBidi" w:cstheme="majorBidi"/>
          <w:sz w:val="24"/>
          <w:szCs w:val="24"/>
        </w:rPr>
      </w:pPr>
    </w:p>
    <w:p w:rsidR="005B4062" w:rsidRPr="007A3B70" w:rsidRDefault="005B4062" w:rsidP="007A3B70">
      <w:pPr>
        <w:rPr>
          <w:lang w:bidi="ar-DZ"/>
        </w:rPr>
      </w:pPr>
    </w:p>
    <w:sectPr w:rsidR="005B4062" w:rsidRPr="007A3B70" w:rsidSect="00480F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4AD" w:rsidRDefault="006D74AD" w:rsidP="007A3B70">
      <w:r>
        <w:separator/>
      </w:r>
    </w:p>
  </w:endnote>
  <w:endnote w:type="continuationSeparator" w:id="0">
    <w:p w:rsidR="006D74AD" w:rsidRDefault="006D74AD" w:rsidP="007A3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4AD" w:rsidRDefault="006D74AD" w:rsidP="007A3B70">
      <w:r>
        <w:separator/>
      </w:r>
    </w:p>
  </w:footnote>
  <w:footnote w:type="continuationSeparator" w:id="0">
    <w:p w:rsidR="006D74AD" w:rsidRDefault="006D74AD" w:rsidP="007A3B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B70"/>
    <w:rsid w:val="00365531"/>
    <w:rsid w:val="005B4062"/>
    <w:rsid w:val="006D74AD"/>
    <w:rsid w:val="007A3B70"/>
    <w:rsid w:val="007E2C82"/>
    <w:rsid w:val="00812008"/>
    <w:rsid w:val="00824128"/>
    <w:rsid w:val="00833E48"/>
    <w:rsid w:val="00A026A2"/>
    <w:rsid w:val="00C60D2B"/>
    <w:rsid w:val="00DE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70"/>
    <w:pPr>
      <w:spacing w:after="0" w:line="240" w:lineRule="auto"/>
    </w:pPr>
    <w:rPr>
      <w:rFonts w:ascii="Calibri" w:eastAsia="Calibri" w:hAnsi="Calibri" w:cs="Arial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3B7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7A3B70"/>
    <w:rPr>
      <w:rFonts w:ascii="Calibri" w:eastAsia="Calibri" w:hAnsi="Calibri" w:cs="Arial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A3B7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3B70"/>
    <w:rPr>
      <w:rFonts w:ascii="Calibri" w:eastAsia="Calibri" w:hAnsi="Calibri" w:cs="Arial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3B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B70"/>
    <w:rPr>
      <w:rFonts w:ascii="Tahoma" w:eastAsia="Calibri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7A3B70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R2019</dc:creator>
  <cp:lastModifiedBy>r2018</cp:lastModifiedBy>
  <cp:revision>3</cp:revision>
  <dcterms:created xsi:type="dcterms:W3CDTF">2020-04-10T21:24:00Z</dcterms:created>
  <dcterms:modified xsi:type="dcterms:W3CDTF">2021-05-01T11:32:00Z</dcterms:modified>
</cp:coreProperties>
</file>