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C0" w:rsidRDefault="008E39C0" w:rsidP="008E39C0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مقياس القانون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(أعمال موجهة) للأستاذ: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بلمهدي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ابراهيم</w:t>
      </w:r>
      <w:proofErr w:type="spellEnd"/>
    </w:p>
    <w:p w:rsidR="008E39C0" w:rsidRPr="00B9510C" w:rsidRDefault="008E39C0" w:rsidP="008E39C0">
      <w:pPr>
        <w:bidi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الضبط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الاداري</w:t>
      </w:r>
      <w:proofErr w:type="spellEnd"/>
    </w:p>
    <w:p w:rsidR="008E39C0" w:rsidRPr="00B3137A" w:rsidRDefault="008E39C0" w:rsidP="00D70254">
      <w:pPr>
        <w:pStyle w:val="Paragraphedeliste"/>
        <w:bidi/>
        <w:ind w:left="-1" w:right="-284"/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</w:pPr>
      <w:r w:rsidRPr="005621E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en-US" w:bidi="ar-DZ"/>
        </w:rPr>
        <w:t>المحاور الأساسية للموضوع:</w:t>
      </w:r>
    </w:p>
    <w:p w:rsidR="008E39C0" w:rsidRPr="00A04639" w:rsidRDefault="008E39C0" w:rsidP="00D70254">
      <w:pPr>
        <w:pStyle w:val="Paragraphedeliste"/>
        <w:bidi/>
        <w:spacing w:line="240" w:lineRule="auto"/>
        <w:ind w:left="-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 w:rsidRPr="006D51A6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-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ماهية </w:t>
      </w:r>
      <w:r w:rsidRPr="006D51A6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الضبط</w:t>
      </w:r>
      <w:r w:rsidRPr="006D51A6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الإداري: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(مفهوم الضبط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الاداري</w:t>
      </w:r>
      <w:proofErr w:type="spellEnd"/>
      <w:r w:rsidRPr="00DA4C39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: </w:t>
      </w:r>
      <w:r w:rsidRPr="00DA4C39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المعنى العضوي</w:t>
      </w:r>
      <w:r w:rsidRPr="00DA4C39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، </w:t>
      </w:r>
      <w:r w:rsidRPr="00DA4C39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المعنى الموضوعي-التمييز بين الضبط الإداري والضبط القضائي-</w:t>
      </w:r>
      <w:r w:rsidRPr="00DA4C39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خصائص</w:t>
      </w:r>
      <w:r w:rsidRPr="00DA4C39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</w:t>
      </w:r>
      <w:r w:rsidRPr="00A04639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الضبط الإداري</w:t>
      </w:r>
      <w:r w:rsidRPr="00DA4C39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-</w:t>
      </w:r>
      <w:r w:rsidRPr="00DA4C39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مجالات </w:t>
      </w:r>
      <w:r w:rsidRPr="00A04639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الضبط الإداري</w:t>
      </w:r>
      <w:r w:rsidRPr="00DA4C39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-</w:t>
      </w:r>
      <w:r w:rsidRPr="00C45332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أنواع الضبط الإداري: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</w:t>
      </w:r>
      <w:r w:rsidRPr="00DA4C39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الضبط العام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، </w:t>
      </w:r>
      <w:r w:rsidRPr="00DA4C39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الضبط الخاص-</w:t>
      </w:r>
      <w:r w:rsidRPr="00A04639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أهداف الضبط الإداري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: مفهوم النظام العام و</w:t>
      </w:r>
      <w:r w:rsidRPr="00A04639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عناصر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ه</w:t>
      </w:r>
      <w:r w:rsidRPr="00A04639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الأمن العام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، </w:t>
      </w:r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الصحة العامة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، </w:t>
      </w:r>
      <w:r w:rsidRPr="00A04639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السكينة العامة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، الآداب العامة)</w:t>
      </w:r>
    </w:p>
    <w:p w:rsidR="008E39C0" w:rsidRDefault="008E39C0" w:rsidP="00D70254">
      <w:pPr>
        <w:pStyle w:val="Paragraphedeliste"/>
        <w:bidi/>
        <w:spacing w:line="240" w:lineRule="auto"/>
        <w:ind w:left="-1" w:right="-284"/>
        <w:jc w:val="both"/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</w:pPr>
      <w:r w:rsidRPr="006D51A6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-</w:t>
      </w:r>
      <w:r w:rsidRPr="006D51A6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هيئات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وأعمال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الضبط</w:t>
      </w:r>
      <w:r w:rsidR="00835877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="00835877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الاداري</w:t>
      </w:r>
      <w:proofErr w:type="spellEnd"/>
      <w:r w:rsidRPr="006D51A6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(</w:t>
      </w:r>
      <w:r w:rsidRPr="006B3550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هيئات الضبط على المستوى الوطني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: </w:t>
      </w:r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رئيس الجمهورية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، </w:t>
      </w:r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الوزير الأول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، </w:t>
      </w:r>
      <w:r w:rsidRPr="00A04639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الوزراء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-</w:t>
      </w:r>
      <w:r w:rsidRPr="006B3550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هيئات الضبط على المستوى المحلي</w:t>
      </w:r>
      <w:r w:rsidRPr="00A04639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</w:t>
      </w:r>
      <w:r w:rsidRPr="00A04639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الوالي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والوالي المنتدب-</w:t>
      </w:r>
      <w:r w:rsidRPr="00A04639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رئيس المجلس الشعبي البلدي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-</w:t>
      </w:r>
      <w:r w:rsidRPr="00BC5543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وسائل الضبط الإداري</w:t>
      </w:r>
      <w:r w:rsidRPr="00A04639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الوسائل المادية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، </w:t>
      </w:r>
      <w:r w:rsidRPr="006B3550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الوسائل </w:t>
      </w:r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البشرية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، </w:t>
      </w:r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الوسائل القانونية-</w:t>
      </w:r>
      <w:r w:rsidRPr="00BC5543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حدود سلطة الضبط الإدار</w:t>
      </w:r>
      <w:r w:rsidRPr="00BC554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: </w:t>
      </w:r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الحالة العادية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، </w:t>
      </w:r>
      <w:r w:rsidRPr="006B3550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الحالة </w:t>
      </w:r>
      <w:proofErr w:type="spellStart"/>
      <w:r w:rsidRPr="006B3550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الإستثنائية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)</w:t>
      </w:r>
    </w:p>
    <w:p w:rsidR="008E39C0" w:rsidRPr="00873061" w:rsidRDefault="008E39C0" w:rsidP="008E39C0">
      <w:pPr>
        <w:pStyle w:val="Paragraphedeliste"/>
        <w:bidi/>
        <w:ind w:left="-1"/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</w:pPr>
    </w:p>
    <w:p w:rsidR="008E39C0" w:rsidRDefault="008E39C0" w:rsidP="008E39C0">
      <w:pPr>
        <w:pStyle w:val="Paragraphedeliste"/>
        <w:bidi/>
        <w:ind w:left="1440" w:hanging="1441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en-US" w:bidi="ar-DZ"/>
        </w:rPr>
      </w:pPr>
      <w:r w:rsidRPr="005621E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en-US" w:bidi="ar-DZ"/>
        </w:rPr>
        <w:t>بعض المصادر والمراجع الأساسية:</w:t>
      </w:r>
    </w:p>
    <w:p w:rsidR="008E39C0" w:rsidRDefault="008E39C0" w:rsidP="008E39C0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-الدس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تور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الجزائري (1989 المعدل والمتمم في 1996، 2008، 2016)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لاسيما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المواد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32 و95-98 و143. </w:t>
      </w:r>
    </w:p>
    <w:p w:rsidR="008E39C0" w:rsidRDefault="008E39C0" w:rsidP="008E39C0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-القانون 89-28 المؤرخ في 31 ديسمبر 1989 المتعلق بالاجتماعات والمظاهرات العمومية (المعدل).</w:t>
      </w:r>
    </w:p>
    <w:p w:rsidR="008E39C0" w:rsidRDefault="008E39C0" w:rsidP="008E39C0">
      <w:pPr>
        <w:pStyle w:val="Paragraphedeliste"/>
        <w:bidi/>
        <w:ind w:left="-1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-القانون 12-07 المؤرخ في 21 فيفري 2012 المتعلق بالولاية، المواد  110-123 ولاسيما 114 منه.</w:t>
      </w:r>
    </w:p>
    <w:p w:rsidR="008E39C0" w:rsidRDefault="008E39C0" w:rsidP="008E39C0">
      <w:pPr>
        <w:pStyle w:val="Paragraphedeliste"/>
        <w:bidi/>
        <w:ind w:left="-1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-القانون 11-10 المؤرخ في 22 يوليو 2011 المتعلق بالبلدية، المواد 85-95 ولاسيما 88 و89 و94 و100 منه.</w:t>
      </w:r>
    </w:p>
    <w:p w:rsidR="008E39C0" w:rsidRDefault="008E39C0" w:rsidP="008E39C0">
      <w:pPr>
        <w:pStyle w:val="Paragraphedeliste"/>
        <w:bidi/>
        <w:ind w:left="-1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-بعض المراسيم التنفيذية (كالمرسوم التنفيذي 96-121 المؤرخ في 06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أفريل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1996 المتعلق بشروط الصيد البحري).</w:t>
      </w:r>
    </w:p>
    <w:p w:rsidR="008E39C0" w:rsidRPr="00BC5543" w:rsidRDefault="008E39C0" w:rsidP="008E39C0">
      <w:pPr>
        <w:pStyle w:val="Paragraphedeliste"/>
        <w:bidi/>
        <w:ind w:left="-1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-القرار (الوزاري) المؤرخ في 12 ديسمبر 1999 المتعلق بشرطة العمران وحماية البيئة.</w:t>
      </w:r>
    </w:p>
    <w:p w:rsidR="008E39C0" w:rsidRDefault="008E39C0" w:rsidP="008E39C0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-عمار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بوضياف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الوجيز في القانون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جسور للنشر والتوزيع، الطبعة 3، الجزائر، 2015.</w:t>
      </w:r>
    </w:p>
    <w:p w:rsidR="008E39C0" w:rsidRDefault="008E39C0" w:rsidP="008E39C0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-جبار جميلة، دروس في القانون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منشورات كليك، الطبعة 1، الجزائر، 2014.</w:t>
      </w:r>
    </w:p>
    <w:p w:rsidR="008E39C0" w:rsidRDefault="008E39C0" w:rsidP="008E39C0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-ناصر لباد، القانون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منشورات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دحلب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الجزائر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د س ن.</w:t>
      </w:r>
    </w:p>
    <w:p w:rsidR="008E39C0" w:rsidRDefault="008E39C0" w:rsidP="008E39C0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-محمد صغير بعلي، القانون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-التنظيم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النشاط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-، دار العلوم، الجزائر، 2013.</w:t>
      </w:r>
    </w:p>
    <w:p w:rsidR="00D2686C" w:rsidRPr="008E39C0" w:rsidRDefault="00D2686C" w:rsidP="008E39C0">
      <w:pPr>
        <w:bidi/>
        <w:rPr>
          <w:rFonts w:ascii="Simplified Arabic" w:hAnsi="Simplified Arabic" w:cs="Simplified Arabic"/>
          <w:sz w:val="32"/>
          <w:szCs w:val="32"/>
          <w:lang w:bidi="ar-DZ"/>
        </w:rPr>
      </w:pPr>
    </w:p>
    <w:sectPr w:rsidR="00D2686C" w:rsidRPr="008E39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39C0"/>
    <w:rsid w:val="00835877"/>
    <w:rsid w:val="008E39C0"/>
    <w:rsid w:val="00D2686C"/>
    <w:rsid w:val="00D7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39C0"/>
    <w:pPr>
      <w:spacing w:line="36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2020-06-03T15:23:00Z</dcterms:created>
  <dcterms:modified xsi:type="dcterms:W3CDTF">2020-06-03T15:25:00Z</dcterms:modified>
</cp:coreProperties>
</file>