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72" w:rsidRPr="00C60672" w:rsidRDefault="00C60672" w:rsidP="00C60672">
      <w:pPr>
        <w:autoSpaceDE w:val="0"/>
        <w:autoSpaceDN w:val="0"/>
        <w:adjustRightInd w:val="0"/>
        <w:spacing w:before="240"/>
        <w:jc w:val="center"/>
        <w:rPr>
          <w:rFonts w:ascii="Traditional Arabic" w:hAnsi="Traditional Arabic" w:cs="arabswell_1"/>
          <w:b/>
          <w:bCs/>
          <w:color w:val="000000"/>
          <w:sz w:val="32"/>
          <w:szCs w:val="32"/>
          <w:rtl/>
        </w:rPr>
      </w:pPr>
      <w:r w:rsidRPr="00C60672">
        <w:rPr>
          <w:rFonts w:ascii="Traditional Arabic" w:hAnsi="Traditional Arabic" w:cs="arabswell_1" w:hint="cs"/>
          <w:b/>
          <w:bCs/>
          <w:color w:val="000000"/>
          <w:sz w:val="56"/>
          <w:szCs w:val="56"/>
          <w:rtl/>
        </w:rPr>
        <w:t>العرف</w:t>
      </w:r>
    </w:p>
    <w:p w:rsidR="00C60672" w:rsidRDefault="00C60672" w:rsidP="00C60672">
      <w:pPr>
        <w:autoSpaceDE w:val="0"/>
        <w:autoSpaceDN w:val="0"/>
        <w:adjustRightInd w:val="0"/>
        <w:spacing w:before="240"/>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5. </w:t>
      </w:r>
      <w:r w:rsidRPr="006E598E">
        <w:rPr>
          <w:rFonts w:ascii="Traditional Arabic" w:hAnsi="Traditional Arabic" w:cs="Traditional Arabic" w:hint="cs"/>
          <w:b/>
          <w:bCs/>
          <w:color w:val="000000"/>
          <w:sz w:val="32"/>
          <w:szCs w:val="32"/>
          <w:rtl/>
        </w:rPr>
        <w:t>شروط العرف</w:t>
      </w:r>
      <w:bookmarkStart w:id="0" w:name="_GoBack"/>
      <w:bookmarkEnd w:id="0"/>
    </w:p>
    <w:p w:rsidR="00C60672" w:rsidRPr="006E598E" w:rsidRDefault="00C60672" w:rsidP="00C60672">
      <w:pPr>
        <w:autoSpaceDE w:val="0"/>
        <w:autoSpaceDN w:val="0"/>
        <w:adjustRightInd w:val="0"/>
        <w:rPr>
          <w:rFonts w:ascii="Traditional Arabic" w:hAnsi="Traditional Arabic" w:cs="Traditional Arabic"/>
          <w:color w:val="000000"/>
          <w:sz w:val="32"/>
          <w:szCs w:val="32"/>
          <w:rtl/>
        </w:rPr>
      </w:pPr>
      <w:r w:rsidRPr="006E598E">
        <w:rPr>
          <w:rFonts w:ascii="Traditional Arabic" w:hAnsi="Traditional Arabic" w:cs="Traditional Arabic"/>
          <w:color w:val="000000"/>
          <w:sz w:val="32"/>
          <w:szCs w:val="32"/>
          <w:rtl/>
        </w:rPr>
        <w:t>ويشترط للعمل بالعرف شرطان:</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1.5. </w:t>
      </w:r>
      <w:r w:rsidRPr="001E66FF">
        <w:rPr>
          <w:rFonts w:ascii="Traditional Arabic" w:hAnsi="Traditional Arabic" w:cs="Traditional Arabic" w:hint="cs"/>
          <w:b/>
          <w:bCs/>
          <w:color w:val="000000"/>
          <w:sz w:val="32"/>
          <w:szCs w:val="32"/>
          <w:rtl/>
        </w:rPr>
        <w:t>الاطّراد والغلبة:</w:t>
      </w:r>
      <w:r>
        <w:rPr>
          <w:rFonts w:ascii="Traditional Arabic" w:hAnsi="Traditional Arabic" w:cs="Traditional Arabic" w:hint="cs"/>
          <w:color w:val="000000"/>
          <w:sz w:val="32"/>
          <w:szCs w:val="32"/>
          <w:rtl/>
        </w:rPr>
        <w:t xml:space="preserve"> لا بدّ في العرف المراد تحكيمه أن يكون العمل به جارياً بين متعارفيه في جميع الحوادث. ولذلك قالوا: إنّما تعتبر العادة إذا اطّردت فإن اضطربت فلا، وإن تعارضت الظنون في اعتبارها فخلاف.. أمّا إذا تساوت العادات فلا يُعمل بواحدة منها..</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فمثلاً، جهاز الأب لابنته من ماله إذا تنازعه عرفان في البلد الواحد؛ أحدهما يعتبره عارية، والآخر يعتبره تمليكاً وهديّة، فإنّهما يتساقطان نظراً لتعارضهما.. فلا يُبنى الحكم على أحدهما، ويُرجَع إلى الأصل؛ وهو اليمين، فيحلف الأب، لأنّه المعطي، وهو أدرى بحقيقة ما أعطاه..</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كذلك الحال في تقسيم المهر في النكاح إلى نقد وكالئ، إنّما يتصوّر فيه اطّراده في البلد إذا كان أهله قد تعارفوا هذا التقسيم في جميع أنكحتهم..</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هذا، والاطّراد غير العموم، فقد يكون العرف عامّاً منتشراً في جميع البلاد، وقد يكون خاصّاً ببلد معيّن؛ وهو ما يسمّى بالعرف الإقليمي أو المحلّي، أو بين أهل حرفة مخصوصة دون سواها كطائفة التجّار أو الصنّاع أو الصيادلة أو الأطبّاء.. ويسمّى عرفاً مهنيّاً أو طائفيّاً.. وهذا العرف الخاصّ بطائفة التجّار أو المزارعين أو أصحاب مهنة من المهن، هو عرف عامّ، لأنّه يعمّ جميع أفراد الطائفة..</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فالعرف </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عامّاً كان أو خاصّاً </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يُشترَط لاعتباره وتحكيمه في المعاملات المطلقة أن يكون في محيطه مطّرداً أو غالباً على أعمال أهله. فالمراد بالعموم العموم في المكان الذي يقع فيه، أو بالنسبة للأشخاص الذين صدر عنهم العمل بصفاتهم كالعرف الصناعي أو العرف المهني. فإن اختلّ هذا الشرط فإنّه لا يُعتبر؛ إذ لو كان عرفاً محدوداً ضيّقاً يؤخَذ به أحياناً فإنّه في هذه الحالة لا يمكن اعتباره ولا اعتماده</w:t>
      </w:r>
      <w:r>
        <w:rPr>
          <w:rStyle w:val="FootnoteReference"/>
          <w:rFonts w:ascii="Traditional Arabic" w:hAnsi="Traditional Arabic" w:cs="Traditional Arabic"/>
          <w:color w:val="000000"/>
          <w:sz w:val="32"/>
          <w:szCs w:val="32"/>
          <w:rtl/>
        </w:rPr>
        <w:footnoteReference w:id="1"/>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2.5.</w:t>
      </w:r>
      <w:r w:rsidRPr="00E71401">
        <w:rPr>
          <w:rFonts w:ascii="Traditional Arabic" w:hAnsi="Traditional Arabic" w:cs="Traditional Arabic"/>
          <w:b/>
          <w:bCs/>
          <w:color w:val="000000"/>
          <w:sz w:val="32"/>
          <w:szCs w:val="32"/>
          <w:rtl/>
        </w:rPr>
        <w:t xml:space="preserve"> </w:t>
      </w:r>
      <w:r w:rsidRPr="00E71401">
        <w:rPr>
          <w:rFonts w:ascii="Traditional Arabic" w:hAnsi="Traditional Arabic" w:cs="Traditional Arabic" w:hint="cs"/>
          <w:b/>
          <w:bCs/>
          <w:color w:val="000000"/>
          <w:sz w:val="32"/>
          <w:szCs w:val="32"/>
          <w:rtl/>
        </w:rPr>
        <w:t>عدم مخالفته لنصّ شرعيّ:</w:t>
      </w:r>
      <w:r w:rsidRPr="006E598E">
        <w:rPr>
          <w:rFonts w:ascii="Traditional Arabic" w:hAnsi="Traditional Arabic" w:cs="Traditional Arabic"/>
          <w:color w:val="000000"/>
          <w:sz w:val="32"/>
          <w:szCs w:val="32"/>
          <w:rtl/>
        </w:rPr>
        <w:t xml:space="preserve"> وإلا</w:t>
      </w:r>
      <w:r>
        <w:rPr>
          <w:rFonts w:ascii="Traditional Arabic" w:hAnsi="Traditional Arabic" w:cs="Traditional Arabic" w:hint="cs"/>
          <w:color w:val="000000"/>
          <w:sz w:val="32"/>
          <w:szCs w:val="32"/>
          <w:rtl/>
        </w:rPr>
        <w:t>ّ</w:t>
      </w:r>
      <w:r w:rsidRPr="006E598E">
        <w:rPr>
          <w:rFonts w:ascii="Traditional Arabic" w:hAnsi="Traditional Arabic" w:cs="Traditional Arabic"/>
          <w:color w:val="000000"/>
          <w:sz w:val="32"/>
          <w:szCs w:val="32"/>
          <w:rtl/>
        </w:rPr>
        <w:t xml:space="preserve"> كان عرفًا باطلًا لا قيمة له، وهو العرف الفاسد، كتعارف الناس ارتكاب المحر</w:t>
      </w:r>
      <w:r>
        <w:rPr>
          <w:rFonts w:ascii="Traditional Arabic" w:hAnsi="Traditional Arabic" w:cs="Traditional Arabic" w:hint="cs"/>
          <w:color w:val="000000"/>
          <w:sz w:val="32"/>
          <w:szCs w:val="32"/>
          <w:rtl/>
        </w:rPr>
        <w:t>ّ</w:t>
      </w:r>
      <w:r w:rsidRPr="006E598E">
        <w:rPr>
          <w:rFonts w:ascii="Traditional Arabic" w:hAnsi="Traditional Arabic" w:cs="Traditional Arabic"/>
          <w:color w:val="000000"/>
          <w:sz w:val="32"/>
          <w:szCs w:val="32"/>
          <w:rtl/>
        </w:rPr>
        <w:t>مات من الربا وشرب الخمر واختلاط النساء مع الرجال، وكشف العورة، ولبس الحرير والذهب للرجال وغير ذلك مم</w:t>
      </w:r>
      <w:r>
        <w:rPr>
          <w:rFonts w:ascii="Traditional Arabic" w:hAnsi="Traditional Arabic" w:cs="Traditional Arabic" w:hint="cs"/>
          <w:color w:val="000000"/>
          <w:sz w:val="32"/>
          <w:szCs w:val="32"/>
          <w:rtl/>
        </w:rPr>
        <w:t>ّ</w:t>
      </w:r>
      <w:r w:rsidRPr="006E598E">
        <w:rPr>
          <w:rFonts w:ascii="Traditional Arabic" w:hAnsi="Traditional Arabic" w:cs="Traditional Arabic"/>
          <w:color w:val="000000"/>
          <w:sz w:val="32"/>
          <w:szCs w:val="32"/>
          <w:rtl/>
        </w:rPr>
        <w:t>ا ورد فيه نص</w:t>
      </w:r>
      <w:r>
        <w:rPr>
          <w:rFonts w:ascii="Traditional Arabic" w:hAnsi="Traditional Arabic" w:cs="Traditional Arabic" w:hint="cs"/>
          <w:color w:val="000000"/>
          <w:sz w:val="32"/>
          <w:szCs w:val="32"/>
          <w:rtl/>
        </w:rPr>
        <w:t>ّ</w:t>
      </w:r>
      <w:r w:rsidRPr="006E598E">
        <w:rPr>
          <w:rFonts w:ascii="Traditional Arabic" w:hAnsi="Traditional Arabic" w:cs="Traditional Arabic"/>
          <w:color w:val="000000"/>
          <w:sz w:val="32"/>
          <w:szCs w:val="32"/>
          <w:rtl/>
        </w:rPr>
        <w:t xml:space="preserve"> بالتحريم، فلا قيمة لهذا العرف، ولا اعتبار له، فهو عرف فاسد مردود، وات</w:t>
      </w:r>
      <w:r>
        <w:rPr>
          <w:rFonts w:ascii="Traditional Arabic" w:hAnsi="Traditional Arabic" w:cs="Traditional Arabic" w:hint="cs"/>
          <w:color w:val="000000"/>
          <w:sz w:val="32"/>
          <w:szCs w:val="32"/>
          <w:rtl/>
        </w:rPr>
        <w:t>ّ</w:t>
      </w:r>
      <w:r w:rsidRPr="006E598E">
        <w:rPr>
          <w:rFonts w:ascii="Traditional Arabic" w:hAnsi="Traditional Arabic" w:cs="Traditional Arabic"/>
          <w:color w:val="000000"/>
          <w:sz w:val="32"/>
          <w:szCs w:val="32"/>
          <w:rtl/>
        </w:rPr>
        <w:t>باع للهوى وإبطال للنصوص، وهو غير مقبول قطعًا</w:t>
      </w:r>
      <w:r>
        <w:rPr>
          <w:rStyle w:val="FootnoteReference"/>
          <w:rFonts w:ascii="Traditional Arabic" w:hAnsi="Traditional Arabic" w:cs="Traditional Arabic"/>
          <w:color w:val="000000"/>
          <w:sz w:val="32"/>
          <w:szCs w:val="32"/>
          <w:rtl/>
        </w:rPr>
        <w:footnoteReference w:id="2"/>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غير أنّه يستثنى من ذلك النصّ الذي ورد معلّلاً بالعرف ومبنيّاً عليه. ففي هذه الحالة تبقى للعرف قوّته، ويعمَل بالعرف والنصّ توفيقاً..</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أمّا إذا لم يكن العرف مخالفاً للنصّ من كلّ وجه، ولم يكن مبطلاً للحكم الذي أثبته، كما إذا كان النصّ الشرعي عامّاً والعرف خاصّاً فإن خالفه في بعض أفراده، فإنّه يُعمَل بالعرف والنصّ معاً، ويكون العرف مخصِّصاً للنصّ العامّ لا مبطِلاً له. ومن ذلك تخصيص النصّ الوارد في النهي ببيع ما ليس عند الإنسان بتجويز الاستصناع لعرف الناس وتعاملهم به، مع أنّ النصّ يشمله..</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هذا وقد ألغى الإسلام كثيراً من الأعراف التي كانت متّبَعة لدى العرب قبل الإسلام مثل عادة التبنّي، واسترقاق المدين، ونكاح الشغار، وحرمان النساء من الميراث، وعادات الحلف بالطلاق وغيرها</w:t>
      </w:r>
      <w:r>
        <w:rPr>
          <w:rStyle w:val="FootnoteReference"/>
          <w:rFonts w:ascii="Traditional Arabic" w:hAnsi="Traditional Arabic" w:cs="Traditional Arabic"/>
          <w:color w:val="000000"/>
          <w:sz w:val="32"/>
          <w:szCs w:val="32"/>
          <w:rtl/>
        </w:rPr>
        <w:footnoteReference w:id="3"/>
      </w:r>
      <w:r>
        <w:rPr>
          <w:rFonts w:ascii="Traditional Arabic" w:hAnsi="Traditional Arabic" w:cs="Traditional Arabic" w:hint="cs"/>
          <w:color w:val="000000"/>
          <w:sz w:val="32"/>
          <w:szCs w:val="32"/>
          <w:rtl/>
        </w:rPr>
        <w:t>..</w:t>
      </w:r>
    </w:p>
    <w:p w:rsidR="00C60672" w:rsidRPr="00B7526A"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sidRPr="00B7526A">
        <w:rPr>
          <w:rFonts w:ascii="Traditional Arabic" w:hAnsi="Traditional Arabic" w:cs="Traditional Arabic" w:hint="cs"/>
          <w:b/>
          <w:bCs/>
          <w:color w:val="000000"/>
          <w:sz w:val="32"/>
          <w:szCs w:val="32"/>
          <w:rtl/>
        </w:rPr>
        <w:t>3.5. عدم معارضة العرف بتصريح يخالفه</w:t>
      </w:r>
      <w:r>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فإذا وُجد مثلاً نصّ أو شرط لأحد المتعاقدين وجب  العمل بمقتضى النصّ أو الشرط، ما دام الشرط صحيحاً، ولا يُلتَفَت إلى العرف.. فلو فرضنا أنّ مصاريف تسجيل عقد من العقود مثلاً تعارفها الناس على المشتري، واتّفق المتعاقدان على أن يكون ذلك على البائع، عُمِل بهذا الاتّفاق، ولا عبرة بالعرف لأنّ المؤمنين عند شروطهم ما دام الشرط لا يحلّ حراماً ولا يحرّم حلالاً.. ولأنّ العرف يتدخّل عند سكوت المتعاقدين عن تفاصيل العقد، فلو اتّفِق على تفاصيله لأخذ بما تمّ الاتّفاق عليه ولو خالف الأعراف القائمة..</w:t>
      </w:r>
    </w:p>
    <w:p w:rsidR="00C60672"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ولو استأجر شخص أجيراً للعمل من الظهر إلى العصر فقط ليس له أن يلزمه بالعمل من الصباح إلى المساء بحجّة أنّ العرف كذلك، بل يتبع المدّة المعيّنة.. </w:t>
      </w:r>
    </w:p>
    <w:p w:rsidR="00C60672"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ولو أنّ امرأة أقامت بيّنة عند التنازع في الجهاز على ما هو من خصائص الرجال، أو أقام الرجل بيّنة على ما هو من خصائص النساء، فإنّه يُقضى بها وتُقدَّم على العرف</w:t>
      </w:r>
      <w:r>
        <w:rPr>
          <w:rStyle w:val="FootnoteReference"/>
          <w:rFonts w:ascii="Traditional Arabic" w:hAnsi="Traditional Arabic" w:cs="Traditional Arabic"/>
          <w:color w:val="000000"/>
          <w:sz w:val="32"/>
          <w:szCs w:val="32"/>
          <w:rtl/>
        </w:rPr>
        <w:footnoteReference w:id="4"/>
      </w:r>
      <w:r>
        <w:rPr>
          <w:rFonts w:ascii="Traditional Arabic" w:hAnsi="Traditional Arabic" w:cs="Traditional Arabic" w:hint="cs"/>
          <w:color w:val="000000"/>
          <w:sz w:val="32"/>
          <w:szCs w:val="32"/>
          <w:rtl/>
        </w:rPr>
        <w:t xml:space="preserve">.. </w:t>
      </w:r>
    </w:p>
    <w:p w:rsidR="00C60672"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sidRPr="00BA7E73">
        <w:rPr>
          <w:rFonts w:ascii="Traditional Arabic" w:hAnsi="Traditional Arabic" w:cs="Traditional Arabic" w:hint="cs"/>
          <w:b/>
          <w:bCs/>
          <w:color w:val="000000"/>
          <w:sz w:val="32"/>
          <w:szCs w:val="32"/>
          <w:rtl/>
        </w:rPr>
        <w:t>4.5. ألاّ يكون عرفاً طارئاً:</w:t>
      </w:r>
      <w:r>
        <w:rPr>
          <w:rFonts w:ascii="Traditional Arabic" w:hAnsi="Traditional Arabic" w:cs="Traditional Arabic" w:hint="cs"/>
          <w:b/>
          <w:bCs/>
          <w:color w:val="000000"/>
          <w:sz w:val="32"/>
          <w:szCs w:val="32"/>
          <w:rtl/>
        </w:rPr>
        <w:t xml:space="preserve"> </w:t>
      </w:r>
      <w:r>
        <w:rPr>
          <w:rFonts w:ascii="Traditional Arabic" w:hAnsi="Traditional Arabic" w:cs="Traditional Arabic" w:hint="cs"/>
          <w:color w:val="000000"/>
          <w:sz w:val="32"/>
          <w:szCs w:val="32"/>
          <w:rtl/>
        </w:rPr>
        <w:t xml:space="preserve">بمعنى أن يكون العرف سابقاً أو مقارناً لزمن الشيء الذي يُحمل على العرف، فلا عبرة بالعرف المتأخّر الطارئ على العقد أو التصرّف الذي يراد فيه الاحتكام إلى العرف.. فلو وقع الاتّفاق على ثمن المبيع بدراهم أو دنانير في بلدة اختلفت فيها النقود، كان البيع منصرفاً إلى النقد المعروف بين الجميع، وإلى العرف الغالب حين البيع، وليس إلى ما يطرأ بعد ذلك من اختلاف أو تغيير. فعبارات الواقفين وشروطهم في صحيح أوقافهم، ونصوص الوثائق، وألفاظ الحجج في العقود والتصرّفات وما دُوِّن فيها من قيود وإطلاقات والتزامات واشتراطات وما جاء فيها من اصطلاحات </w:t>
      </w:r>
      <w:r>
        <w:rPr>
          <w:rFonts w:ascii="Traditional Arabic" w:hAnsi="Traditional Arabic" w:cs="Traditional Arabic" w:hint="cs"/>
          <w:color w:val="000000"/>
          <w:sz w:val="32"/>
          <w:szCs w:val="32"/>
          <w:rtl/>
        </w:rPr>
        <w:lastRenderedPageBreak/>
        <w:t>يراعى في فهمها وتفسيرها العرف الذي كانم قائماً وقت صدور العقود وإنشاء التصرّفات ولا يُلتفت إلى العرف الحادث بعد إنشاء العقد أو التصرّف..</w:t>
      </w:r>
    </w:p>
    <w:p w:rsidR="00C60672"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وهذا الشرط يسري على العرف اللفظي كما يسري على العرف العملي؛ فلفظ "في سبيل الله" في آية مصارف الزكاة له معنى عرفي إذ ذاك هو مصالح الجهاد الشرعي. ولفظ "ابن السبيل" فيها أيضاً معناه العرفي من ينقطع من الناس في السفر.. فإذا تبدّل عرف الناس في شيء من هذه التعابير فأصبح مثلاً معنى "سبيل الله" طلب العلم خاصّة، وأصبح معنى "ابن السبيل" الطفل اللقيط الذي لا يُعرَف له أهل، فإنّ النصّ التشريعي يظلّ محمولاً على معناه العرفي الأوّل لأنّه هو مراد الشارع ولا عبرة للمعاني العرفيّة أو الاصطلاحيّة الحادثة بعد ورود النصّ..</w:t>
      </w:r>
    </w:p>
    <w:p w:rsidR="00C60672" w:rsidRPr="00BA7E73"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أمّا عن العرف العملي، فلو تبدّل عرف الناس مثلاً فيما يعدّ عيباً في المبيع أو في تقسيم المهر في النكاح إلى معجّل ومؤجّل.. فإنّ العرف الحادث لا يسري على التصرّفات السابقة، ولا يبدّل شيئاً من أحكامها والتزاماتها</w:t>
      </w:r>
      <w:r>
        <w:rPr>
          <w:rStyle w:val="FootnoteReference"/>
          <w:rFonts w:ascii="Traditional Arabic" w:hAnsi="Traditional Arabic" w:cs="Traditional Arabic"/>
          <w:color w:val="000000"/>
          <w:sz w:val="32"/>
          <w:szCs w:val="32"/>
          <w:rtl/>
        </w:rPr>
        <w:footnoteReference w:id="5"/>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spacing w:before="240"/>
        <w:jc w:val="both"/>
        <w:rPr>
          <w:rFonts w:ascii="Traditional Arabic" w:hAnsi="Traditional Arabic" w:cs="Traditional Arabic"/>
          <w:b/>
          <w:bCs/>
          <w:color w:val="000000"/>
          <w:sz w:val="32"/>
          <w:szCs w:val="32"/>
          <w:rtl/>
        </w:rPr>
      </w:pPr>
      <w:r w:rsidRPr="000D4B04">
        <w:rPr>
          <w:rFonts w:ascii="Traditional Arabic" w:hAnsi="Traditional Arabic" w:cs="Traditional Arabic" w:hint="cs"/>
          <w:b/>
          <w:bCs/>
          <w:color w:val="000000"/>
          <w:sz w:val="32"/>
          <w:szCs w:val="32"/>
          <w:rtl/>
        </w:rPr>
        <w:t>6. تطبيقات العرف</w:t>
      </w:r>
      <w:r>
        <w:rPr>
          <w:rFonts w:ascii="Traditional Arabic" w:hAnsi="Traditional Arabic" w:cs="Traditional Arabic" w:hint="cs"/>
          <w:b/>
          <w:bCs/>
          <w:color w:val="000000"/>
          <w:sz w:val="32"/>
          <w:szCs w:val="32"/>
          <w:rtl/>
        </w:rPr>
        <w:t xml:space="preserve"> في قضايا الأسرة</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تحكيم العرف في متاع البيت (الجهاز) الذي تمّ شراؤه قبل الزفاف، ووقعت الفرقة بطلاق أو وفاة فإنّ الحكم في ذلك أن يُقضى للمرأة بما يُعرَف للنساء، وللرجال بما يُعرَف للرجال</w:t>
      </w:r>
      <w:r>
        <w:rPr>
          <w:rStyle w:val="FootnoteReference"/>
          <w:rFonts w:ascii="Traditional Arabic" w:hAnsi="Traditional Arabic" w:cs="Traditional Arabic"/>
          <w:color w:val="000000"/>
          <w:sz w:val="32"/>
          <w:szCs w:val="32"/>
          <w:rtl/>
        </w:rPr>
        <w:footnoteReference w:id="6"/>
      </w:r>
      <w:r>
        <w:rPr>
          <w:rFonts w:ascii="Traditional Arabic" w:hAnsi="Traditional Arabic" w:cs="Traditional Arabic" w:hint="cs"/>
          <w:color w:val="000000"/>
          <w:sz w:val="32"/>
          <w:szCs w:val="32"/>
          <w:rtl/>
        </w:rPr>
        <w:t xml:space="preserve">.. </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لو جهّز الأب ابنته من ماله في زواجها، ثمّ اختلف وإيّاها في أنّ ما أخرجه لها كان على سبيل العارية فيحقّ له استرداده، أو كان على سبيل التمليك فهو لها. فالعرف في هذا الشأن هو المحكّم</w:t>
      </w:r>
      <w:r>
        <w:rPr>
          <w:rStyle w:val="FootnoteReference"/>
          <w:rFonts w:ascii="Traditional Arabic" w:hAnsi="Traditional Arabic" w:cs="Traditional Arabic"/>
          <w:color w:val="000000"/>
          <w:sz w:val="32"/>
          <w:szCs w:val="32"/>
          <w:rtl/>
        </w:rPr>
        <w:footnoteReference w:id="7"/>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اعتبار الكفاءة في الزواج روعي فيها عرف العرب أيضاً مع أنّ الناس سواء، للحفاظ على مستقبل الزوجية، لأنّ الناس عادة يزدرون من دونهم..</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إذا جرى العرف بإلزام الزوج بتقديم هديّة العرس فإنّه يلزمه ذلك إعمالاً للعرف، ودفعاً للخصومة التي قد تنجم من عدم دفعه</w:t>
      </w:r>
      <w:r>
        <w:rPr>
          <w:rStyle w:val="FootnoteReference"/>
          <w:rFonts w:ascii="Traditional Arabic" w:hAnsi="Traditional Arabic" w:cs="Traditional Arabic"/>
          <w:color w:val="000000"/>
          <w:sz w:val="32"/>
          <w:szCs w:val="32"/>
          <w:rtl/>
        </w:rPr>
        <w:footnoteReference w:id="8"/>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 المعلوم من الفقه الحنفي أنّ المرأة يجوز لها أن تزوّج نفسها من غير وليّ، لكنّ المتأخّرين أفتوا بعدم صحّة نكاح المرأة إلاّ بوليّ في غير كفء لمّا رأوا فساد الزمان وتغيّر الأحوال</w:t>
      </w:r>
      <w:r>
        <w:rPr>
          <w:rStyle w:val="FootnoteReference"/>
          <w:rFonts w:ascii="Traditional Arabic" w:hAnsi="Traditional Arabic" w:cs="Traditional Arabic"/>
          <w:color w:val="000000"/>
          <w:sz w:val="32"/>
          <w:szCs w:val="32"/>
          <w:rtl/>
        </w:rPr>
        <w:footnoteReference w:id="9"/>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ليس للزوج أن يجبر زوجته على السفر من وطنها إذا نكحها فيه، وإن أوفاها معجّل مهرها لغلبة الأضرار في الأزواج</w:t>
      </w:r>
      <w:r>
        <w:rPr>
          <w:rStyle w:val="FootnoteReference"/>
          <w:rFonts w:ascii="Traditional Arabic" w:hAnsi="Traditional Arabic" w:cs="Traditional Arabic"/>
          <w:color w:val="000000"/>
          <w:sz w:val="32"/>
          <w:szCs w:val="32"/>
          <w:rtl/>
        </w:rPr>
        <w:footnoteReference w:id="10"/>
      </w:r>
      <w:r>
        <w:rPr>
          <w:rFonts w:ascii="Traditional Arabic" w:hAnsi="Traditional Arabic" w:cs="Traditional Arabic" w:hint="cs"/>
          <w:color w:val="000000"/>
          <w:sz w:val="32"/>
          <w:szCs w:val="32"/>
          <w:rtl/>
        </w:rPr>
        <w:t>..</w:t>
      </w:r>
    </w:p>
    <w:p w:rsidR="00C60672" w:rsidRPr="000D4B04"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إذا تنازع الزوجان في قبض الصداق بعد الدخول، فإن كانت العادة تقضي بأنّ الرجل لا يدخل بامرأته حتى تقبض جميع صداقها، فالقول قول الرجل، وإن كانت العادة بخلاف ذلك، فالقول قول المرأة مع يمينها</w:t>
      </w:r>
      <w:r>
        <w:rPr>
          <w:rStyle w:val="FootnoteReference"/>
          <w:rFonts w:ascii="Traditional Arabic" w:hAnsi="Traditional Arabic" w:cs="Traditional Arabic"/>
          <w:color w:val="000000"/>
          <w:sz w:val="32"/>
          <w:szCs w:val="32"/>
          <w:rtl/>
        </w:rPr>
        <w:footnoteReference w:id="11"/>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تحكيم العرف في مقدار النفقة الواجبة للزوجة الثابتة بالنصّ المطلق: {لينفق ذو سعة من سعته}، حيث أوجبها بقدر بالوسع ولم يبيّن مقداره، فقدّرها البعض قياساً، وتركها البعض للعرف، والذين قدّروها لم يهملوا العرف، بل عملوا بما يتعارف في زمنهم..</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إذا قال لزوجته: أنت طالق، وقال أردتُ من وثاق، فإنّ المعنى العرفي للطلاق الذي هو فكّ الرابطة الزوجية هو المحكّم، وليس الإطلاق من الوثاق بالمعنى اللغوي</w:t>
      </w:r>
      <w:r>
        <w:rPr>
          <w:rStyle w:val="FootnoteReference"/>
          <w:rFonts w:ascii="Traditional Arabic" w:hAnsi="Traditional Arabic" w:cs="Traditional Arabic"/>
          <w:color w:val="000000"/>
          <w:sz w:val="32"/>
          <w:szCs w:val="32"/>
          <w:rtl/>
        </w:rPr>
        <w:footnoteReference w:id="12"/>
      </w:r>
      <w:r>
        <w:rPr>
          <w:rFonts w:ascii="Traditional Arabic" w:hAnsi="Traditional Arabic" w:cs="Traditional Arabic" w:hint="cs"/>
          <w:color w:val="000000"/>
          <w:sz w:val="32"/>
          <w:szCs w:val="32"/>
          <w:rtl/>
        </w:rPr>
        <w:t>..</w:t>
      </w:r>
    </w:p>
    <w:p w:rsidR="00C60672" w:rsidRDefault="00C60672" w:rsidP="00C60672">
      <w:pPr>
        <w:autoSpaceDE w:val="0"/>
        <w:autoSpaceDN w:val="0"/>
        <w:adjustRightInd w:val="0"/>
        <w:spacing w:before="240"/>
        <w:jc w:val="both"/>
        <w:rPr>
          <w:rFonts w:ascii="Traditional Arabic" w:hAnsi="Traditional Arabic" w:cs="Traditional Arabic"/>
          <w:color w:val="000000"/>
          <w:sz w:val="32"/>
          <w:szCs w:val="32"/>
          <w:rtl/>
        </w:rPr>
      </w:pPr>
      <w:r w:rsidRPr="00E812C6">
        <w:rPr>
          <w:rFonts w:ascii="Traditional Arabic" w:hAnsi="Traditional Arabic" w:cs="Traditional Arabic" w:hint="cs"/>
          <w:b/>
          <w:bCs/>
          <w:color w:val="000000"/>
          <w:sz w:val="32"/>
          <w:szCs w:val="32"/>
          <w:rtl/>
        </w:rPr>
        <w:t>القواعد الفقهيّة الخاصّة بالعرف</w:t>
      </w:r>
    </w:p>
    <w:p w:rsidR="00C60672" w:rsidRDefault="00C60672" w:rsidP="00C60672">
      <w:pPr>
        <w:autoSpaceDE w:val="0"/>
        <w:autoSpaceDN w:val="0"/>
        <w:adjustRightInd w:val="0"/>
        <w:jc w:val="both"/>
        <w:rPr>
          <w:rFonts w:ascii="Traditional Arabic" w:hAnsi="Traditional Arabic" w:cs="Traditional Arabic"/>
          <w:color w:val="000000"/>
          <w:sz w:val="32"/>
          <w:szCs w:val="32"/>
          <w:rtl/>
        </w:rPr>
      </w:pPr>
      <w:r w:rsidRPr="00C86FA4">
        <w:rPr>
          <w:rFonts w:ascii="Traditional Arabic" w:hAnsi="Traditional Arabic" w:cs="Traditional Arabic" w:hint="cs"/>
          <w:b/>
          <w:bCs/>
          <w:color w:val="000000"/>
          <w:sz w:val="32"/>
          <w:szCs w:val="32"/>
          <w:rtl/>
        </w:rPr>
        <w:t>العادة محكَّمة</w:t>
      </w:r>
      <w:r>
        <w:rPr>
          <w:rFonts w:ascii="Traditional Arabic" w:hAnsi="Traditional Arabic" w:cs="Traditional Arabic" w:hint="cs"/>
          <w:color w:val="000000"/>
          <w:sz w:val="32"/>
          <w:szCs w:val="32"/>
          <w:rtl/>
        </w:rPr>
        <w:t>: وهي القاعدة الخامسة من القواعد الكبرى التي عليها مدار الفقه الإسلامي عموماً.. ويندرج تحتها من القواعد:</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1. </w:t>
      </w:r>
      <w:r w:rsidRPr="00951ED6">
        <w:rPr>
          <w:rFonts w:ascii="Traditional Arabic" w:hAnsi="Traditional Arabic" w:cs="Traditional Arabic" w:hint="cs"/>
          <w:color w:val="000000"/>
          <w:sz w:val="32"/>
          <w:szCs w:val="32"/>
          <w:rtl/>
        </w:rPr>
        <w:t>استعمال الناس حجّة يجب العمل بها</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2. </w:t>
      </w:r>
      <w:r w:rsidRPr="00951ED6">
        <w:rPr>
          <w:rFonts w:ascii="Traditional Arabic" w:hAnsi="Traditional Arabic" w:cs="Traditional Arabic" w:hint="cs"/>
          <w:color w:val="000000"/>
          <w:sz w:val="32"/>
          <w:szCs w:val="32"/>
          <w:rtl/>
        </w:rPr>
        <w:t>إنّا تعتبر العادة إذا اطّردت أو غلبت</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3. </w:t>
      </w:r>
      <w:r w:rsidRPr="00951ED6">
        <w:rPr>
          <w:rFonts w:ascii="Traditional Arabic" w:hAnsi="Traditional Arabic" w:cs="Traditional Arabic" w:hint="cs"/>
          <w:color w:val="000000"/>
          <w:sz w:val="32"/>
          <w:szCs w:val="32"/>
          <w:rtl/>
        </w:rPr>
        <w:t>العبرة للغالب الشائع لا للنادر</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4. </w:t>
      </w:r>
      <w:r w:rsidRPr="00951ED6">
        <w:rPr>
          <w:rFonts w:ascii="Traditional Arabic" w:hAnsi="Traditional Arabic" w:cs="Traditional Arabic" w:hint="cs"/>
          <w:color w:val="000000"/>
          <w:sz w:val="32"/>
          <w:szCs w:val="32"/>
          <w:rtl/>
        </w:rPr>
        <w:t>لا عبرة بالعرف الطارئ</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5. </w:t>
      </w:r>
      <w:r w:rsidRPr="00951ED6">
        <w:rPr>
          <w:rFonts w:ascii="Traditional Arabic" w:hAnsi="Traditional Arabic" w:cs="Traditional Arabic" w:hint="cs"/>
          <w:color w:val="000000"/>
          <w:sz w:val="32"/>
          <w:szCs w:val="32"/>
          <w:rtl/>
        </w:rPr>
        <w:t>الحقيقة تُترَك بدلالة العادة</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6. </w:t>
      </w:r>
      <w:r w:rsidRPr="00951ED6">
        <w:rPr>
          <w:rFonts w:ascii="Traditional Arabic" w:hAnsi="Traditional Arabic" w:cs="Traditional Arabic" w:hint="cs"/>
          <w:color w:val="000000"/>
          <w:sz w:val="32"/>
          <w:szCs w:val="32"/>
          <w:rtl/>
        </w:rPr>
        <w:t>الكتاب كالخطاب</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7. </w:t>
      </w:r>
      <w:r w:rsidRPr="00951ED6">
        <w:rPr>
          <w:rFonts w:ascii="Traditional Arabic" w:hAnsi="Traditional Arabic" w:cs="Traditional Arabic" w:hint="cs"/>
          <w:color w:val="000000"/>
          <w:sz w:val="32"/>
          <w:szCs w:val="32"/>
          <w:rtl/>
        </w:rPr>
        <w:t>الإشارة المعهودة للأخرص كالبيان باللسان</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8. </w:t>
      </w:r>
      <w:r w:rsidRPr="00951ED6">
        <w:rPr>
          <w:rFonts w:ascii="Traditional Arabic" w:hAnsi="Traditional Arabic" w:cs="Traditional Arabic" w:hint="cs"/>
          <w:color w:val="000000"/>
          <w:sz w:val="32"/>
          <w:szCs w:val="32"/>
          <w:rtl/>
        </w:rPr>
        <w:t>المعروف عرفاً كالمشروط شرطاً</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9. </w:t>
      </w:r>
      <w:r w:rsidRPr="00951ED6">
        <w:rPr>
          <w:rFonts w:ascii="Traditional Arabic" w:hAnsi="Traditional Arabic" w:cs="Traditional Arabic" w:hint="cs"/>
          <w:color w:val="000000"/>
          <w:sz w:val="32"/>
          <w:szCs w:val="32"/>
          <w:rtl/>
        </w:rPr>
        <w:t>التعيين بالعرف كالتعيين بالنصّ</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 xml:space="preserve">10. </w:t>
      </w:r>
      <w:r w:rsidRPr="00951ED6">
        <w:rPr>
          <w:rFonts w:ascii="Traditional Arabic" w:hAnsi="Traditional Arabic" w:cs="Traditional Arabic" w:hint="cs"/>
          <w:color w:val="000000"/>
          <w:sz w:val="32"/>
          <w:szCs w:val="32"/>
          <w:rtl/>
        </w:rPr>
        <w:t>المعروف بين التجّار كالمشروط بينهم</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11. </w:t>
      </w:r>
      <w:r w:rsidRPr="00951ED6">
        <w:rPr>
          <w:rFonts w:ascii="Traditional Arabic" w:hAnsi="Traditional Arabic" w:cs="Traditional Arabic" w:hint="cs"/>
          <w:color w:val="000000"/>
          <w:sz w:val="32"/>
          <w:szCs w:val="32"/>
          <w:rtl/>
        </w:rPr>
        <w:t>كلّ ما ورد به الشرع مطلقاً، ولا ضابط له في الشرع ولا في اللغة، يُرجَع فيه إلى العرف</w:t>
      </w:r>
    </w:p>
    <w:p w:rsidR="00C60672" w:rsidRPr="00951ED6" w:rsidRDefault="00C60672" w:rsidP="00C60672">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12. </w:t>
      </w:r>
      <w:r w:rsidRPr="00951ED6">
        <w:rPr>
          <w:rFonts w:ascii="Traditional Arabic" w:hAnsi="Traditional Arabic" w:cs="Traditional Arabic" w:hint="cs"/>
          <w:color w:val="000000"/>
          <w:sz w:val="32"/>
          <w:szCs w:val="32"/>
          <w:rtl/>
        </w:rPr>
        <w:t>ما يُعاف في العادات يُكرَه في العبادات</w:t>
      </w:r>
    </w:p>
    <w:p w:rsidR="000D6782" w:rsidRPr="00C60672" w:rsidRDefault="00C60672" w:rsidP="00C60672">
      <w:pPr>
        <w:autoSpaceDE w:val="0"/>
        <w:autoSpaceDN w:val="0"/>
        <w:adjustRightInd w:val="0"/>
        <w:jc w:val="both"/>
      </w:pPr>
      <w:r>
        <w:rPr>
          <w:rFonts w:ascii="Traditional Arabic" w:hAnsi="Traditional Arabic" w:cs="Traditional Arabic" w:hint="cs"/>
          <w:color w:val="000000"/>
          <w:sz w:val="32"/>
          <w:szCs w:val="32"/>
          <w:rtl/>
        </w:rPr>
        <w:t xml:space="preserve">13. </w:t>
      </w:r>
      <w:r w:rsidRPr="00951ED6">
        <w:rPr>
          <w:rFonts w:ascii="Traditional Arabic" w:hAnsi="Traditional Arabic" w:cs="Traditional Arabic" w:hint="cs"/>
          <w:color w:val="000000"/>
          <w:sz w:val="32"/>
          <w:szCs w:val="32"/>
          <w:rtl/>
        </w:rPr>
        <w:t>لا يُنكَر تغيّر الأحكام بتغيّر الزمان</w:t>
      </w:r>
    </w:p>
    <w:sectPr w:rsidR="000D6782" w:rsidRPr="00C60672" w:rsidSect="00AF347D">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86" w:rsidRDefault="009C1E86" w:rsidP="00C60672">
      <w:r>
        <w:separator/>
      </w:r>
    </w:p>
  </w:endnote>
  <w:endnote w:type="continuationSeparator" w:id="0">
    <w:p w:rsidR="009C1E86" w:rsidRDefault="009C1E86" w:rsidP="00C6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arabswell_1">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1757511174"/>
      <w:docPartObj>
        <w:docPartGallery w:val="Page Numbers (Bottom of Page)"/>
        <w:docPartUnique/>
      </w:docPartObj>
    </w:sdtPr>
    <w:sdtEndPr/>
    <w:sdtContent>
      <w:p w:rsidR="008A1A86" w:rsidRPr="008A1A86" w:rsidRDefault="009C1E86">
        <w:pPr>
          <w:pStyle w:val="Footer"/>
          <w:jc w:val="right"/>
          <w:rPr>
            <w:sz w:val="32"/>
            <w:szCs w:val="32"/>
          </w:rPr>
        </w:pPr>
        <w:r w:rsidRPr="008A1A86">
          <w:rPr>
            <w:sz w:val="32"/>
            <w:szCs w:val="32"/>
          </w:rPr>
          <w:fldChar w:fldCharType="begin"/>
        </w:r>
        <w:r w:rsidRPr="008A1A86">
          <w:rPr>
            <w:sz w:val="32"/>
            <w:szCs w:val="32"/>
          </w:rPr>
          <w:instrText xml:space="preserve"> PAGE   \* MERGEFORMAT </w:instrText>
        </w:r>
        <w:r w:rsidRPr="008A1A86">
          <w:rPr>
            <w:sz w:val="32"/>
            <w:szCs w:val="32"/>
          </w:rPr>
          <w:fldChar w:fldCharType="separate"/>
        </w:r>
        <w:r w:rsidR="00C60672">
          <w:rPr>
            <w:noProof/>
            <w:sz w:val="32"/>
            <w:szCs w:val="32"/>
            <w:rtl/>
          </w:rPr>
          <w:t>4</w:t>
        </w:r>
        <w:r w:rsidRPr="008A1A86">
          <w:rPr>
            <w:noProof/>
            <w:sz w:val="32"/>
            <w:szCs w:val="32"/>
          </w:rPr>
          <w:fldChar w:fldCharType="end"/>
        </w:r>
      </w:p>
    </w:sdtContent>
  </w:sdt>
  <w:p w:rsidR="008A1A86" w:rsidRDefault="009C1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86" w:rsidRDefault="009C1E86" w:rsidP="00C60672">
      <w:r>
        <w:separator/>
      </w:r>
    </w:p>
  </w:footnote>
  <w:footnote w:type="continuationSeparator" w:id="0">
    <w:p w:rsidR="009C1E86" w:rsidRDefault="009C1E86" w:rsidP="00C60672">
      <w:r>
        <w:continuationSeparator/>
      </w:r>
    </w:p>
  </w:footnote>
  <w:footnote w:id="1">
    <w:p w:rsidR="00C60672" w:rsidRPr="00AC2246" w:rsidRDefault="00C60672" w:rsidP="00C60672">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 عمر بن عبد الكريم الجيدي، ص104 فما بعدها.</w:t>
      </w:r>
    </w:p>
  </w:footnote>
  <w:footnote w:id="2">
    <w:p w:rsidR="00C60672" w:rsidRPr="00AC2246" w:rsidRDefault="00C60672" w:rsidP="00C60672">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 محمّد الزحيلي، 1/268.</w:t>
      </w:r>
    </w:p>
  </w:footnote>
  <w:footnote w:id="3">
    <w:p w:rsidR="00C60672" w:rsidRPr="00AC2246" w:rsidRDefault="00C60672" w:rsidP="00C60672">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 عمر بن عبد الكريم الجيدي، ص107 فما بعدها.</w:t>
      </w:r>
    </w:p>
  </w:footnote>
  <w:footnote w:id="4">
    <w:p w:rsidR="00C60672" w:rsidRPr="007663F1" w:rsidRDefault="00C60672" w:rsidP="00C60672">
      <w:pPr>
        <w:pStyle w:val="FootnoteText"/>
        <w:rPr>
          <w:rFonts w:ascii="Traditional Arabic" w:hAnsi="Traditional Arabic" w:cs="Traditional Arabic"/>
          <w:sz w:val="28"/>
          <w:szCs w:val="28"/>
          <w:rtl/>
        </w:rPr>
      </w:pPr>
      <w:r w:rsidRPr="007663F1">
        <w:rPr>
          <w:rStyle w:val="FootnoteReference"/>
          <w:rFonts w:ascii="Traditional Arabic" w:hAnsi="Traditional Arabic" w:cs="Traditional Arabic"/>
          <w:sz w:val="28"/>
          <w:szCs w:val="28"/>
        </w:rPr>
        <w:footnoteRef/>
      </w:r>
      <w:r w:rsidRPr="007663F1">
        <w:rPr>
          <w:rFonts w:ascii="Traditional Arabic" w:hAnsi="Traditional Arabic" w:cs="Traditional Arabic"/>
          <w:sz w:val="28"/>
          <w:szCs w:val="28"/>
          <w:rtl/>
        </w:rPr>
        <w:t xml:space="preserve"> - الجيدي، 110-111.</w:t>
      </w:r>
    </w:p>
  </w:footnote>
  <w:footnote w:id="5">
    <w:p w:rsidR="00C60672" w:rsidRPr="007663F1" w:rsidRDefault="00C60672" w:rsidP="00C60672">
      <w:pPr>
        <w:pStyle w:val="FootnoteText"/>
        <w:jc w:val="both"/>
        <w:rPr>
          <w:rFonts w:ascii="Traditional Arabic" w:hAnsi="Traditional Arabic" w:cs="Traditional Arabic"/>
          <w:sz w:val="28"/>
          <w:szCs w:val="28"/>
          <w:rtl/>
        </w:rPr>
      </w:pPr>
      <w:r w:rsidRPr="007663F1">
        <w:rPr>
          <w:rStyle w:val="FootnoteReference"/>
          <w:rFonts w:ascii="Traditional Arabic" w:hAnsi="Traditional Arabic" w:cs="Traditional Arabic"/>
          <w:sz w:val="28"/>
          <w:szCs w:val="28"/>
        </w:rPr>
        <w:footnoteRef/>
      </w:r>
      <w:r w:rsidRPr="007663F1">
        <w:rPr>
          <w:rFonts w:ascii="Traditional Arabic" w:hAnsi="Traditional Arabic" w:cs="Traditional Arabic"/>
          <w:sz w:val="28"/>
          <w:szCs w:val="28"/>
          <w:rtl/>
        </w:rPr>
        <w:t xml:space="preserve"> - الجيدي، 112-114</w:t>
      </w:r>
      <w:r>
        <w:rPr>
          <w:rFonts w:ascii="Traditional Arabic" w:hAnsi="Traditional Arabic" w:cs="Traditional Arabic" w:hint="cs"/>
          <w:sz w:val="28"/>
          <w:szCs w:val="28"/>
          <w:rtl/>
        </w:rPr>
        <w:t xml:space="preserve">؛ وانظر: </w:t>
      </w:r>
      <w:r w:rsidRPr="00C86FA4">
        <w:rPr>
          <w:rFonts w:ascii="Traditional Arabic" w:hAnsi="Traditional Arabic" w:cs="Traditional Arabic"/>
          <w:sz w:val="28"/>
          <w:szCs w:val="28"/>
          <w:rtl/>
        </w:rPr>
        <w:t xml:space="preserve">عبد العزيز محمّد عزّام، </w:t>
      </w:r>
      <w:r w:rsidRPr="00C21BCE">
        <w:rPr>
          <w:rFonts w:ascii="Traditional Arabic" w:hAnsi="Traditional Arabic" w:cs="Traditional Arabic"/>
          <w:b/>
          <w:bCs/>
          <w:sz w:val="28"/>
          <w:szCs w:val="28"/>
          <w:u w:val="single"/>
          <w:rtl/>
        </w:rPr>
        <w:t>القواعد الفقهيّة</w:t>
      </w:r>
      <w:r w:rsidRPr="00C86FA4">
        <w:rPr>
          <w:rFonts w:ascii="Traditional Arabic" w:hAnsi="Traditional Arabic" w:cs="Traditional Arabic"/>
          <w:sz w:val="28"/>
          <w:szCs w:val="28"/>
          <w:rtl/>
        </w:rPr>
        <w:t>، ط.د. (القاهرة: دار الحديث، 1426هـ-2005م)،</w:t>
      </w:r>
      <w:r>
        <w:rPr>
          <w:rFonts w:hint="cs"/>
          <w:rtl/>
        </w:rPr>
        <w:t xml:space="preserve"> </w:t>
      </w:r>
      <w:r w:rsidRPr="00C21BCE">
        <w:rPr>
          <w:rFonts w:ascii="Traditional Arabic" w:hAnsi="Traditional Arabic" w:cs="Traditional Arabic"/>
          <w:sz w:val="28"/>
          <w:szCs w:val="28"/>
          <w:rtl/>
        </w:rPr>
        <w:t>ص</w:t>
      </w:r>
      <w:r>
        <w:rPr>
          <w:rFonts w:ascii="Traditional Arabic" w:hAnsi="Traditional Arabic" w:cs="Traditional Arabic" w:hint="cs"/>
          <w:sz w:val="28"/>
          <w:szCs w:val="28"/>
          <w:rtl/>
        </w:rPr>
        <w:t>190-191.</w:t>
      </w:r>
    </w:p>
  </w:footnote>
  <w:footnote w:id="6">
    <w:p w:rsidR="00C60672" w:rsidRPr="00350445" w:rsidRDefault="00C60672" w:rsidP="00C60672">
      <w:pPr>
        <w:pStyle w:val="FootnoteText"/>
        <w:jc w:val="both"/>
        <w:rPr>
          <w:rFonts w:ascii="Traditional Arabic" w:hAnsi="Traditional Arabic" w:cs="Traditional Arabic"/>
          <w:sz w:val="28"/>
          <w:szCs w:val="28"/>
        </w:rPr>
      </w:pPr>
      <w:r w:rsidRPr="00350445">
        <w:rPr>
          <w:rFonts w:ascii="Traditional Arabic" w:hAnsi="Traditional Arabic" w:cs="Traditional Arabic"/>
          <w:sz w:val="28"/>
          <w:szCs w:val="28"/>
          <w:vertAlign w:val="superscript"/>
        </w:rPr>
        <w:footnoteRef/>
      </w:r>
      <w:r w:rsidRPr="00350445">
        <w:rPr>
          <w:rFonts w:ascii="Traditional Arabic" w:hAnsi="Traditional Arabic" w:cs="Traditional Arabic"/>
          <w:sz w:val="28"/>
          <w:szCs w:val="28"/>
          <w:vertAlign w:val="superscript"/>
          <w:rtl/>
        </w:rPr>
        <w:t xml:space="preserve"> </w:t>
      </w:r>
      <w:r w:rsidRPr="0035044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50445">
        <w:rPr>
          <w:rFonts w:ascii="Traditional Arabic" w:hAnsi="Traditional Arabic" w:cs="Traditional Arabic" w:hint="cs"/>
          <w:sz w:val="28"/>
          <w:szCs w:val="28"/>
          <w:rtl/>
        </w:rPr>
        <w:t>الجيدي، ص124.</w:t>
      </w:r>
    </w:p>
  </w:footnote>
  <w:footnote w:id="7">
    <w:p w:rsidR="00C60672" w:rsidRPr="0093473F" w:rsidRDefault="00C60672" w:rsidP="00C60672">
      <w:pPr>
        <w:pStyle w:val="FootnoteText"/>
        <w:rPr>
          <w:rFonts w:ascii="Traditional Arabic" w:hAnsi="Traditional Arabic" w:cs="Traditional Arabic"/>
          <w:sz w:val="28"/>
          <w:szCs w:val="28"/>
        </w:rPr>
      </w:pPr>
      <w:r w:rsidRPr="0093473F">
        <w:rPr>
          <w:rStyle w:val="FootnoteReference"/>
          <w:rFonts w:ascii="Traditional Arabic" w:hAnsi="Traditional Arabic" w:cs="Traditional Arabic"/>
          <w:sz w:val="28"/>
          <w:szCs w:val="28"/>
        </w:rPr>
        <w:footnoteRef/>
      </w:r>
      <w:r w:rsidRPr="0093473F">
        <w:rPr>
          <w:rFonts w:ascii="Traditional Arabic" w:hAnsi="Traditional Arabic" w:cs="Traditional Arabic"/>
          <w:sz w:val="28"/>
          <w:szCs w:val="28"/>
          <w:rtl/>
        </w:rPr>
        <w:t xml:space="preserve"> -</w:t>
      </w:r>
      <w:r>
        <w:rPr>
          <w:rFonts w:hint="cs"/>
          <w:rtl/>
        </w:rPr>
        <w:t xml:space="preserve"> </w:t>
      </w:r>
      <w:r>
        <w:rPr>
          <w:rFonts w:ascii="Traditional Arabic" w:hAnsi="Traditional Arabic" w:cs="Traditional Arabic" w:hint="cs"/>
          <w:sz w:val="28"/>
          <w:szCs w:val="28"/>
          <w:rtl/>
        </w:rPr>
        <w:t>الجيدي، 136.</w:t>
      </w:r>
    </w:p>
  </w:footnote>
  <w:footnote w:id="8">
    <w:p w:rsidR="00C60672" w:rsidRPr="00254A2E" w:rsidRDefault="00C60672" w:rsidP="00C60672">
      <w:pPr>
        <w:pStyle w:val="FootnoteText"/>
        <w:jc w:val="both"/>
        <w:rPr>
          <w:rFonts w:ascii="Traditional Arabic" w:hAnsi="Traditional Arabic" w:cs="Traditional Arabic"/>
          <w:sz w:val="28"/>
          <w:szCs w:val="28"/>
          <w:rtl/>
        </w:rPr>
      </w:pPr>
      <w:r w:rsidRPr="00EA39CE">
        <w:rPr>
          <w:rFonts w:ascii="Traditional Arabic" w:hAnsi="Traditional Arabic" w:cs="Traditional Arabic"/>
          <w:sz w:val="28"/>
          <w:szCs w:val="28"/>
          <w:vertAlign w:val="superscript"/>
        </w:rPr>
        <w:footnoteRef/>
      </w:r>
      <w:r w:rsidRPr="00EA39CE">
        <w:rPr>
          <w:rFonts w:ascii="Traditional Arabic" w:hAnsi="Traditional Arabic" w:cs="Traditional Arabic"/>
          <w:sz w:val="28"/>
          <w:szCs w:val="28"/>
          <w:rtl/>
        </w:rPr>
        <w:t xml:space="preserve"> </w:t>
      </w:r>
      <w:r w:rsidRPr="00254A2E">
        <w:rPr>
          <w:rFonts w:ascii="Traditional Arabic" w:hAnsi="Traditional Arabic" w:cs="Traditional Arabic" w:hint="cs"/>
          <w:sz w:val="28"/>
          <w:szCs w:val="28"/>
          <w:rtl/>
        </w:rPr>
        <w:t>- الجيدي، ص125.</w:t>
      </w:r>
    </w:p>
  </w:footnote>
  <w:footnote w:id="9">
    <w:p w:rsidR="00C60672" w:rsidRPr="00951ED6" w:rsidRDefault="00C60672" w:rsidP="00C60672">
      <w:pPr>
        <w:pStyle w:val="FootnoteText"/>
        <w:rPr>
          <w:rFonts w:ascii="Traditional Arabic" w:hAnsi="Traditional Arabic" w:cs="Traditional Arabic"/>
          <w:sz w:val="28"/>
          <w:szCs w:val="28"/>
        </w:rPr>
      </w:pPr>
      <w:r w:rsidRPr="00951ED6">
        <w:rPr>
          <w:rStyle w:val="FootnoteReference"/>
          <w:rFonts w:ascii="Traditional Arabic" w:hAnsi="Traditional Arabic" w:cs="Traditional Arabic"/>
          <w:sz w:val="28"/>
          <w:szCs w:val="28"/>
        </w:rPr>
        <w:footnoteRef/>
      </w:r>
      <w:r w:rsidRPr="00951ED6">
        <w:rPr>
          <w:rFonts w:ascii="Traditional Arabic" w:hAnsi="Traditional Arabic" w:cs="Traditional Arabic"/>
          <w:sz w:val="28"/>
          <w:szCs w:val="28"/>
          <w:rtl/>
        </w:rPr>
        <w:t xml:space="preserve"> - عبد العزيز عزّام، ص202.</w:t>
      </w:r>
    </w:p>
  </w:footnote>
  <w:footnote w:id="10">
    <w:p w:rsidR="00C60672" w:rsidRPr="003000A4" w:rsidRDefault="00C60672" w:rsidP="00C60672">
      <w:pPr>
        <w:pStyle w:val="FootnoteText"/>
        <w:rPr>
          <w:rFonts w:ascii="Traditional Arabic" w:hAnsi="Traditional Arabic" w:cs="Traditional Arabic"/>
          <w:sz w:val="28"/>
          <w:szCs w:val="28"/>
        </w:rPr>
      </w:pPr>
      <w:r w:rsidRPr="003000A4">
        <w:rPr>
          <w:rStyle w:val="FootnoteReference"/>
          <w:rFonts w:ascii="Traditional Arabic" w:hAnsi="Traditional Arabic" w:cs="Traditional Arabic"/>
          <w:sz w:val="28"/>
          <w:szCs w:val="28"/>
        </w:rPr>
        <w:footnoteRef/>
      </w:r>
      <w:r w:rsidRPr="003000A4">
        <w:rPr>
          <w:rFonts w:ascii="Traditional Arabic" w:hAnsi="Traditional Arabic" w:cs="Traditional Arabic"/>
          <w:sz w:val="28"/>
          <w:szCs w:val="28"/>
          <w:rtl/>
        </w:rPr>
        <w:t xml:space="preserve"> - عبد العزيز عزّام، ص189.</w:t>
      </w:r>
    </w:p>
  </w:footnote>
  <w:footnote w:id="11">
    <w:p w:rsidR="00C60672" w:rsidRPr="00EA39CE" w:rsidRDefault="00C60672" w:rsidP="00C60672">
      <w:pPr>
        <w:pStyle w:val="FootnoteText"/>
        <w:jc w:val="both"/>
        <w:rPr>
          <w:rFonts w:ascii="Traditional Arabic" w:hAnsi="Traditional Arabic" w:cs="Traditional Arabic"/>
          <w:sz w:val="28"/>
          <w:szCs w:val="28"/>
          <w:rtl/>
        </w:rPr>
      </w:pPr>
      <w:r w:rsidRPr="00EA39CE">
        <w:rPr>
          <w:rFonts w:ascii="Traditional Arabic" w:hAnsi="Traditional Arabic" w:cs="Traditional Arabic"/>
          <w:sz w:val="28"/>
          <w:szCs w:val="28"/>
          <w:vertAlign w:val="superscript"/>
        </w:rPr>
        <w:footnoteRef/>
      </w:r>
      <w:r w:rsidRPr="00EA39CE">
        <w:rPr>
          <w:rFonts w:ascii="Traditional Arabic" w:hAnsi="Traditional Arabic" w:cs="Traditional Arabic"/>
          <w:sz w:val="28"/>
          <w:szCs w:val="28"/>
          <w:rtl/>
        </w:rPr>
        <w:t xml:space="preserve"> </w:t>
      </w:r>
      <w:r w:rsidRPr="00EA39CE">
        <w:rPr>
          <w:rFonts w:ascii="Traditional Arabic" w:hAnsi="Traditional Arabic" w:cs="Traditional Arabic" w:hint="cs"/>
          <w:sz w:val="28"/>
          <w:szCs w:val="28"/>
          <w:rtl/>
        </w:rPr>
        <w:t>- الجيدي، 152.</w:t>
      </w:r>
      <w:r>
        <w:rPr>
          <w:rFonts w:ascii="Traditional Arabic" w:hAnsi="Traditional Arabic" w:cs="Traditional Arabic" w:hint="cs"/>
          <w:sz w:val="28"/>
          <w:szCs w:val="28"/>
          <w:rtl/>
        </w:rPr>
        <w:t xml:space="preserve"> </w:t>
      </w:r>
    </w:p>
  </w:footnote>
  <w:footnote w:id="12">
    <w:p w:rsidR="00C60672" w:rsidRPr="00C21BCE" w:rsidRDefault="00C60672" w:rsidP="00C60672">
      <w:pPr>
        <w:pStyle w:val="FootnoteText"/>
        <w:jc w:val="both"/>
        <w:rPr>
          <w:rFonts w:ascii="Traditional Arabic" w:hAnsi="Traditional Arabic" w:cs="Traditional Arabic"/>
          <w:sz w:val="28"/>
          <w:szCs w:val="28"/>
          <w:rtl/>
        </w:rPr>
      </w:pPr>
      <w:r>
        <w:rPr>
          <w:rStyle w:val="FootnoteReference"/>
        </w:rPr>
        <w:footnoteRef/>
      </w:r>
      <w:r>
        <w:rPr>
          <w:rtl/>
        </w:rPr>
        <w:t xml:space="preserve"> </w:t>
      </w:r>
      <w:r>
        <w:rPr>
          <w:rFonts w:hint="cs"/>
          <w:rtl/>
        </w:rPr>
        <w:t xml:space="preserve">- </w:t>
      </w:r>
      <w:r w:rsidRPr="00C86FA4">
        <w:rPr>
          <w:rFonts w:ascii="Traditional Arabic" w:hAnsi="Traditional Arabic" w:cs="Traditional Arabic"/>
          <w:sz w:val="28"/>
          <w:szCs w:val="28"/>
          <w:rtl/>
        </w:rPr>
        <w:t xml:space="preserve">عبد العزيز محمّد عزّام، </w:t>
      </w:r>
      <w:r w:rsidRPr="00C21BCE">
        <w:rPr>
          <w:rFonts w:ascii="Traditional Arabic" w:hAnsi="Traditional Arabic" w:cs="Traditional Arabic"/>
          <w:b/>
          <w:bCs/>
          <w:sz w:val="28"/>
          <w:szCs w:val="28"/>
          <w:u w:val="single"/>
          <w:rtl/>
        </w:rPr>
        <w:t>القواعد الفقهيّة</w:t>
      </w:r>
      <w:r w:rsidRPr="00C86FA4">
        <w:rPr>
          <w:rFonts w:ascii="Traditional Arabic" w:hAnsi="Traditional Arabic" w:cs="Traditional Arabic"/>
          <w:sz w:val="28"/>
          <w:szCs w:val="28"/>
          <w:rtl/>
        </w:rPr>
        <w:t>، ط.د. (القاهرة: دار الحديث، 1426هـ-2005م)،</w:t>
      </w:r>
      <w:r>
        <w:rPr>
          <w:rFonts w:hint="cs"/>
          <w:rtl/>
        </w:rPr>
        <w:t xml:space="preserve"> </w:t>
      </w:r>
      <w:r w:rsidRPr="00C21BCE">
        <w:rPr>
          <w:rFonts w:ascii="Traditional Arabic" w:hAnsi="Traditional Arabic" w:cs="Traditional Arabic"/>
          <w:sz w:val="28"/>
          <w:szCs w:val="28"/>
          <w:rtl/>
        </w:rPr>
        <w:t>ص187.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72"/>
    <w:rsid w:val="000D6782"/>
    <w:rsid w:val="009C1E86"/>
    <w:rsid w:val="00AF347D"/>
    <w:rsid w:val="00C60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9A56E-58AB-4481-A272-3BC3AA3F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72"/>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0672"/>
    <w:rPr>
      <w:sz w:val="20"/>
      <w:szCs w:val="20"/>
    </w:rPr>
  </w:style>
  <w:style w:type="character" w:customStyle="1" w:styleId="FootnoteTextChar">
    <w:name w:val="Footnote Text Char"/>
    <w:basedOn w:val="DefaultParagraphFont"/>
    <w:link w:val="FootnoteText"/>
    <w:uiPriority w:val="99"/>
    <w:semiHidden/>
    <w:rsid w:val="00C60672"/>
    <w:rPr>
      <w:sz w:val="20"/>
      <w:szCs w:val="20"/>
      <w:lang w:bidi="ar-DZ"/>
    </w:rPr>
  </w:style>
  <w:style w:type="character" w:styleId="FootnoteReference">
    <w:name w:val="footnote reference"/>
    <w:basedOn w:val="DefaultParagraphFont"/>
    <w:uiPriority w:val="99"/>
    <w:semiHidden/>
    <w:unhideWhenUsed/>
    <w:rsid w:val="00C60672"/>
    <w:rPr>
      <w:vertAlign w:val="superscript"/>
    </w:rPr>
  </w:style>
  <w:style w:type="paragraph" w:styleId="Footer">
    <w:name w:val="footer"/>
    <w:basedOn w:val="Normal"/>
    <w:link w:val="FooterChar"/>
    <w:uiPriority w:val="99"/>
    <w:unhideWhenUsed/>
    <w:rsid w:val="00C60672"/>
    <w:pPr>
      <w:tabs>
        <w:tab w:val="center" w:pos="4153"/>
        <w:tab w:val="right" w:pos="8306"/>
      </w:tabs>
    </w:pPr>
  </w:style>
  <w:style w:type="character" w:customStyle="1" w:styleId="FooterChar">
    <w:name w:val="Footer Char"/>
    <w:basedOn w:val="DefaultParagraphFont"/>
    <w:link w:val="Footer"/>
    <w:uiPriority w:val="99"/>
    <w:rsid w:val="00C60672"/>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2020-04-17T17:02:00Z</dcterms:created>
  <dcterms:modified xsi:type="dcterms:W3CDTF">2020-04-17T17:04:00Z</dcterms:modified>
</cp:coreProperties>
</file>