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986" w:rsidRPr="00E55986" w:rsidRDefault="00E55986" w:rsidP="00C5229F">
      <w:pPr>
        <w:bidi/>
        <w:ind w:firstLine="708"/>
        <w:jc w:val="both"/>
        <w:rPr>
          <w:rFonts w:ascii="Traditional Arabic" w:hAnsi="Traditional Arabic" w:cs="Traditional Arabic" w:hint="cs"/>
          <w:b/>
          <w:bCs/>
          <w:sz w:val="32"/>
          <w:szCs w:val="32"/>
          <w:rtl/>
        </w:rPr>
      </w:pPr>
      <w:r w:rsidRPr="00E55986">
        <w:rPr>
          <w:rFonts w:ascii="Traditional Arabic" w:hAnsi="Traditional Arabic" w:cs="Traditional Arabic" w:hint="cs"/>
          <w:b/>
          <w:bCs/>
          <w:sz w:val="32"/>
          <w:szCs w:val="32"/>
          <w:rtl/>
        </w:rPr>
        <w:t xml:space="preserve">مدخل </w:t>
      </w:r>
      <w:r w:rsidR="00CF1935" w:rsidRPr="00E55986">
        <w:rPr>
          <w:rFonts w:ascii="Traditional Arabic" w:hAnsi="Traditional Arabic" w:cs="Traditional Arabic" w:hint="cs"/>
          <w:b/>
          <w:bCs/>
          <w:sz w:val="32"/>
          <w:szCs w:val="32"/>
          <w:rtl/>
        </w:rPr>
        <w:t>للإفصاح</w:t>
      </w:r>
      <w:r w:rsidRPr="00E55986">
        <w:rPr>
          <w:rFonts w:ascii="Traditional Arabic" w:hAnsi="Traditional Arabic" w:cs="Traditional Arabic" w:hint="cs"/>
          <w:b/>
          <w:bCs/>
          <w:sz w:val="32"/>
          <w:szCs w:val="32"/>
          <w:rtl/>
        </w:rPr>
        <w:t xml:space="preserve"> المحاسبي:</w:t>
      </w:r>
    </w:p>
    <w:p w:rsidR="00C5229F" w:rsidRPr="00C5229F" w:rsidRDefault="00C5229F" w:rsidP="00E55986">
      <w:pPr>
        <w:bidi/>
        <w:ind w:firstLine="708"/>
        <w:jc w:val="both"/>
        <w:rPr>
          <w:rFonts w:ascii="Traditional Arabic" w:hAnsi="Traditional Arabic" w:cs="Traditional Arabic"/>
          <w:sz w:val="44"/>
          <w:szCs w:val="44"/>
          <w:rtl/>
          <w:lang w:bidi="ar-DZ"/>
        </w:rPr>
      </w:pPr>
      <w:r w:rsidRPr="00C5229F">
        <w:rPr>
          <w:rFonts w:ascii="Traditional Arabic" w:hAnsi="Traditional Arabic" w:cs="Traditional Arabic"/>
          <w:sz w:val="32"/>
          <w:szCs w:val="32"/>
          <w:rtl/>
        </w:rPr>
        <w:t>أصبح الإفصاح المحاسبي من المواضيع الحيوية والمهمة التي تلقي اهتماما كبيـرا فـي الـسنوات الأخيرة فقد تعددت الدراسات والبحوث المحاسبية وتعددت التوصيات والإرشادات بهذا الشأن</w:t>
      </w:r>
      <w:r>
        <w:rPr>
          <w:rFonts w:ascii="Traditional Arabic" w:hAnsi="Traditional Arabic" w:cs="Traditional Arabic" w:hint="cs"/>
          <w:sz w:val="32"/>
          <w:szCs w:val="32"/>
          <w:rtl/>
        </w:rPr>
        <w:t xml:space="preserve">. </w:t>
      </w:r>
      <w:r w:rsidRPr="00C5229F">
        <w:rPr>
          <w:rFonts w:ascii="Traditional Arabic" w:hAnsi="Traditional Arabic" w:cs="Traditional Arabic"/>
          <w:sz w:val="32"/>
          <w:szCs w:val="32"/>
          <w:rtl/>
        </w:rPr>
        <w:t>فبعد أن كانت الدراسات تركز على وظيفة القيـاس المحاسـبي بغـض النظـر عـن مـستخدمي المعلومـات المحاسبية وكيفية استخدامها اتجهت بعـد ذلـك الدراسـات إلـى التركيـز علـى وظيفـة الاتـصال واعتبارهـا مقدمة لوظيفة القياس المحاسبي</w:t>
      </w:r>
      <w:r w:rsidRPr="00C5229F">
        <w:rPr>
          <w:rFonts w:ascii="Traditional Arabic" w:hAnsi="Traditional Arabic" w:cs="Traditional Arabic"/>
          <w:sz w:val="32"/>
          <w:szCs w:val="32"/>
        </w:rPr>
        <w:t xml:space="preserve"> </w:t>
      </w:r>
      <w:r>
        <w:rPr>
          <w:rStyle w:val="Appelnotedebasdep"/>
          <w:rFonts w:ascii="Traditional Arabic" w:hAnsi="Traditional Arabic" w:cs="Traditional Arabic"/>
          <w:sz w:val="32"/>
          <w:szCs w:val="32"/>
        </w:rPr>
        <w:footnoteReference w:id="2"/>
      </w:r>
      <w:r w:rsidRPr="00C5229F">
        <w:rPr>
          <w:rFonts w:ascii="Traditional Arabic" w:hAnsi="Traditional Arabic" w:cs="Traditional Arabic"/>
          <w:sz w:val="32"/>
          <w:szCs w:val="32"/>
        </w:rPr>
        <w:t>.</w:t>
      </w:r>
    </w:p>
    <w:p w:rsidR="00E55986" w:rsidRDefault="00E55986" w:rsidP="00C5229F">
      <w:pPr>
        <w:bidi/>
        <w:rPr>
          <w:rFonts w:ascii="Traditional Arabic" w:hAnsi="Traditional Arabic" w:cs="Traditional Arabic" w:hint="cs"/>
          <w:sz w:val="32"/>
          <w:szCs w:val="32"/>
          <w:rtl/>
          <w:lang w:bidi="ar-DZ"/>
        </w:rPr>
      </w:pPr>
      <w:r w:rsidRPr="00E55986">
        <w:rPr>
          <w:rFonts w:ascii="Traditional Arabic" w:hAnsi="Traditional Arabic" w:cs="Traditional Arabic" w:hint="cs"/>
          <w:b/>
          <w:bCs/>
          <w:sz w:val="32"/>
          <w:szCs w:val="32"/>
          <w:rtl/>
          <w:lang w:bidi="ar-DZ"/>
        </w:rPr>
        <w:t xml:space="preserve">تعريف الإفصاح المحاسبي: </w:t>
      </w:r>
      <w:r>
        <w:rPr>
          <w:rFonts w:ascii="Traditional Arabic" w:hAnsi="Traditional Arabic" w:cs="Traditional Arabic" w:hint="cs"/>
          <w:sz w:val="32"/>
          <w:szCs w:val="32"/>
          <w:rtl/>
          <w:lang w:bidi="ar-DZ"/>
        </w:rPr>
        <w:t>يعرف بأنه: "هو الوضوح وعدم الإبهام في عرض المعلومات المحاسبية عند إعداد الحسابات والقوائم المالية والتقارير المحاسبية"</w:t>
      </w:r>
      <w:r>
        <w:rPr>
          <w:rStyle w:val="Appelnotedebasdep"/>
          <w:rFonts w:ascii="Traditional Arabic" w:hAnsi="Traditional Arabic" w:cs="Traditional Arabic"/>
          <w:sz w:val="32"/>
          <w:szCs w:val="32"/>
          <w:rtl/>
          <w:lang w:bidi="ar-DZ"/>
        </w:rPr>
        <w:footnoteReference w:id="3"/>
      </w:r>
      <w:r>
        <w:rPr>
          <w:rFonts w:ascii="Traditional Arabic" w:hAnsi="Traditional Arabic" w:cs="Traditional Arabic" w:hint="cs"/>
          <w:sz w:val="32"/>
          <w:szCs w:val="32"/>
          <w:rtl/>
          <w:lang w:bidi="ar-DZ"/>
        </w:rPr>
        <w:t>.</w:t>
      </w:r>
    </w:p>
    <w:p w:rsidR="004F3566" w:rsidRDefault="004F3566" w:rsidP="004F3566">
      <w:pPr>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أي أن الإفصاح هو عرض المحاسبية ضمن القوائم المالية والمتمثلة في:</w:t>
      </w:r>
    </w:p>
    <w:p w:rsidR="004F3566" w:rsidRDefault="004F3566" w:rsidP="00E26BF6">
      <w:pPr>
        <w:bidi/>
        <w:jc w:val="both"/>
        <w:rPr>
          <w:rFonts w:ascii="Traditional Arabic" w:hAnsi="Traditional Arabic" w:cs="Traditional Arabic" w:hint="cs"/>
          <w:sz w:val="32"/>
          <w:szCs w:val="32"/>
          <w:rtl/>
          <w:lang w:bidi="ar-DZ"/>
        </w:rPr>
      </w:pPr>
      <w:r w:rsidRPr="00E26BF6">
        <w:rPr>
          <w:rFonts w:ascii="Traditional Arabic" w:hAnsi="Traditional Arabic" w:cs="Traditional Arabic" w:hint="cs"/>
          <w:b/>
          <w:bCs/>
          <w:sz w:val="32"/>
          <w:szCs w:val="32"/>
          <w:rtl/>
          <w:lang w:bidi="ar-DZ"/>
        </w:rPr>
        <w:t>قائمة المركز المالي (الميزانية):</w:t>
      </w:r>
      <w:r>
        <w:rPr>
          <w:rFonts w:ascii="Traditional Arabic" w:hAnsi="Traditional Arabic" w:cs="Traditional Arabic" w:hint="cs"/>
          <w:sz w:val="32"/>
          <w:szCs w:val="32"/>
          <w:rtl/>
          <w:lang w:bidi="ar-DZ"/>
        </w:rPr>
        <w:t xml:space="preserve"> هي تعرض فيها وضعية المؤسسة خلال فترة معينة </w:t>
      </w:r>
      <w:r w:rsidR="00E26BF6">
        <w:rPr>
          <w:rFonts w:ascii="Traditional Arabic" w:hAnsi="Traditional Arabic" w:cs="Traditional Arabic" w:hint="cs"/>
          <w:sz w:val="32"/>
          <w:szCs w:val="32"/>
          <w:rtl/>
          <w:lang w:bidi="ar-DZ"/>
        </w:rPr>
        <w:t>وتتضمن ممتلكات المؤسسة (التثبيتات، المخزون، الحقوق)، والتزاماتها( الأموال الخاصة، الديون الطويلة والديون القصيرة).</w:t>
      </w:r>
    </w:p>
    <w:p w:rsidR="00E26BF6" w:rsidRPr="00E55986" w:rsidRDefault="00E26BF6" w:rsidP="00E26BF6">
      <w:pPr>
        <w:bidi/>
        <w:jc w:val="both"/>
        <w:rPr>
          <w:rFonts w:ascii="Traditional Arabic" w:hAnsi="Traditional Arabic" w:cs="Traditional Arabic" w:hint="cs"/>
          <w:sz w:val="32"/>
          <w:szCs w:val="32"/>
          <w:rtl/>
          <w:lang w:bidi="ar-DZ"/>
        </w:rPr>
      </w:pPr>
      <w:r w:rsidRPr="00E26BF6">
        <w:rPr>
          <w:rFonts w:ascii="Traditional Arabic" w:hAnsi="Traditional Arabic" w:cs="Traditional Arabic" w:hint="cs"/>
          <w:b/>
          <w:bCs/>
          <w:sz w:val="32"/>
          <w:szCs w:val="32"/>
          <w:rtl/>
          <w:lang w:bidi="ar-DZ"/>
        </w:rPr>
        <w:t>قائمة الدخل (حسابات النتائج):</w:t>
      </w:r>
      <w:r>
        <w:rPr>
          <w:rFonts w:ascii="Traditional Arabic" w:hAnsi="Traditional Arabic" w:cs="Traditional Arabic" w:hint="cs"/>
          <w:sz w:val="32"/>
          <w:szCs w:val="32"/>
          <w:rtl/>
          <w:lang w:bidi="ar-DZ"/>
        </w:rPr>
        <w:t xml:space="preserve"> تعرض نتيجة المؤسسة خلال فترة معينة، حيث تساوي النتيجة الإيرادات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الأعباء. </w:t>
      </w:r>
    </w:p>
    <w:p w:rsidR="00CF1935" w:rsidRDefault="00E26BF6" w:rsidP="00E55986">
      <w:pPr>
        <w:bidi/>
        <w:rPr>
          <w:rFonts w:ascii="Traditional Arabic" w:hAnsi="Traditional Arabic" w:cs="Traditional Arabic" w:hint="cs"/>
          <w:b/>
          <w:bCs/>
          <w:sz w:val="32"/>
          <w:szCs w:val="32"/>
          <w:rtl/>
          <w:lang w:bidi="ar-DZ"/>
        </w:rPr>
      </w:pPr>
      <w:r w:rsidRPr="00E26BF6">
        <w:rPr>
          <w:rFonts w:ascii="Traditional Arabic" w:hAnsi="Traditional Arabic" w:cs="Traditional Arabic" w:hint="cs"/>
          <w:b/>
          <w:bCs/>
          <w:sz w:val="32"/>
          <w:szCs w:val="32"/>
          <w:rtl/>
          <w:lang w:bidi="ar-DZ"/>
        </w:rPr>
        <w:t>قائمة تدفقات الخزينة:</w:t>
      </w:r>
      <w:r>
        <w:rPr>
          <w:rFonts w:ascii="Traditional Arabic" w:hAnsi="Traditional Arabic" w:cs="Traditional Arabic" w:hint="cs"/>
          <w:b/>
          <w:bCs/>
          <w:sz w:val="32"/>
          <w:szCs w:val="32"/>
          <w:rtl/>
          <w:lang w:bidi="ar-DZ"/>
        </w:rPr>
        <w:t xml:space="preserve"> </w:t>
      </w:r>
      <w:r w:rsidRPr="00CF1935">
        <w:rPr>
          <w:rFonts w:ascii="Traditional Arabic" w:hAnsi="Traditional Arabic" w:cs="Traditional Arabic" w:hint="cs"/>
          <w:sz w:val="32"/>
          <w:szCs w:val="32"/>
          <w:rtl/>
          <w:lang w:bidi="ar-DZ"/>
        </w:rPr>
        <w:t xml:space="preserve">تعرض </w:t>
      </w:r>
      <w:r w:rsidR="00CF1935" w:rsidRPr="00CF1935">
        <w:rPr>
          <w:rFonts w:ascii="Traditional Arabic" w:hAnsi="Traditional Arabic" w:cs="Traditional Arabic" w:hint="cs"/>
          <w:sz w:val="32"/>
          <w:szCs w:val="32"/>
          <w:rtl/>
          <w:lang w:bidi="ar-DZ"/>
        </w:rPr>
        <w:t>حركة النقديات بالمؤسسة (التحصيلات والمدفوعات)</w:t>
      </w:r>
    </w:p>
    <w:p w:rsidR="00CF1935" w:rsidRDefault="00CF1935" w:rsidP="00CF1935">
      <w:pPr>
        <w:bidi/>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قائمة تغييرات في رأس المال: </w:t>
      </w:r>
      <w:r w:rsidRPr="00CF1935">
        <w:rPr>
          <w:rFonts w:ascii="Traditional Arabic" w:hAnsi="Traditional Arabic" w:cs="Traditional Arabic" w:hint="cs"/>
          <w:sz w:val="32"/>
          <w:szCs w:val="32"/>
          <w:rtl/>
          <w:lang w:bidi="ar-DZ"/>
        </w:rPr>
        <w:t>تعرض مختلف التعديلات التي تحدث في مجموعة الأموال الخاصة.</w:t>
      </w:r>
    </w:p>
    <w:p w:rsidR="00E26BF6" w:rsidRPr="00E26BF6" w:rsidRDefault="00CF1935" w:rsidP="00CF1935">
      <w:pPr>
        <w:bidi/>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الملاحق: </w:t>
      </w:r>
      <w:r w:rsidRPr="00CF1935">
        <w:rPr>
          <w:rFonts w:ascii="Traditional Arabic" w:hAnsi="Traditional Arabic" w:cs="Traditional Arabic" w:hint="cs"/>
          <w:sz w:val="32"/>
          <w:szCs w:val="32"/>
          <w:rtl/>
          <w:lang w:bidi="ar-DZ"/>
        </w:rPr>
        <w:t>تعرض مختلف المعلومات الملحقة والتي لا تظهر في القوائم السابقة.</w:t>
      </w:r>
      <w:r w:rsidR="00E26BF6" w:rsidRPr="00E26BF6">
        <w:rPr>
          <w:rFonts w:ascii="Traditional Arabic" w:hAnsi="Traditional Arabic" w:cs="Traditional Arabic" w:hint="cs"/>
          <w:b/>
          <w:bCs/>
          <w:sz w:val="32"/>
          <w:szCs w:val="32"/>
          <w:rtl/>
          <w:lang w:bidi="ar-DZ"/>
        </w:rPr>
        <w:t xml:space="preserve"> </w:t>
      </w:r>
    </w:p>
    <w:p w:rsidR="00000000" w:rsidRPr="00847D6B" w:rsidRDefault="009A428A" w:rsidP="00E26BF6">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w:t>
      </w:r>
      <w:r w:rsidR="00847D6B" w:rsidRPr="00847D6B">
        <w:rPr>
          <w:rFonts w:ascii="Traditional Arabic" w:hAnsi="Traditional Arabic" w:cs="Traditional Arabic"/>
          <w:sz w:val="32"/>
          <w:szCs w:val="32"/>
          <w:rtl/>
          <w:lang w:bidi="ar-DZ"/>
        </w:rPr>
        <w:t xml:space="preserve">يرى مجلس المعايير المحاسبية </w:t>
      </w:r>
      <w:r w:rsidR="00847D6B" w:rsidRPr="00847D6B">
        <w:rPr>
          <w:rFonts w:ascii="Traditional Arabic" w:hAnsi="Traditional Arabic" w:cs="Traditional Arabic"/>
          <w:sz w:val="32"/>
          <w:szCs w:val="32"/>
          <w:lang w:bidi="ar-DZ"/>
        </w:rPr>
        <w:t>FASB</w:t>
      </w:r>
      <w:r w:rsidR="00847D6B" w:rsidRPr="00847D6B">
        <w:rPr>
          <w:rFonts w:ascii="Traditional Arabic" w:hAnsi="Traditional Arabic" w:cs="Traditional Arabic"/>
          <w:sz w:val="32"/>
          <w:szCs w:val="32"/>
          <w:rtl/>
          <w:lang w:bidi="ar-DZ"/>
        </w:rPr>
        <w:t xml:space="preserve"> أن هناك أربعة أغراض للإفصاح:</w:t>
      </w:r>
      <w:r w:rsidR="00FD31B8">
        <w:rPr>
          <w:rStyle w:val="Appelnotedebasdep"/>
          <w:rFonts w:ascii="Traditional Arabic" w:hAnsi="Traditional Arabic" w:cs="Traditional Arabic"/>
          <w:sz w:val="32"/>
          <w:szCs w:val="32"/>
          <w:rtl/>
          <w:lang w:bidi="ar-DZ"/>
        </w:rPr>
        <w:footnoteReference w:id="4"/>
      </w:r>
    </w:p>
    <w:p w:rsidR="00847D6B" w:rsidRDefault="00847D6B" w:rsidP="00847D6B">
      <w:pPr>
        <w:pStyle w:val="Paragraphedeliste"/>
        <w:numPr>
          <w:ilvl w:val="0"/>
          <w:numId w:val="1"/>
        </w:numPr>
        <w:bidi/>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وصف الفقرات المميزة وتوفير قياسات ملائمة لها.</w:t>
      </w:r>
    </w:p>
    <w:p w:rsidR="00847D6B" w:rsidRDefault="00847D6B" w:rsidP="00847D6B">
      <w:pPr>
        <w:pStyle w:val="Paragraphedeliste"/>
        <w:numPr>
          <w:ilvl w:val="0"/>
          <w:numId w:val="1"/>
        </w:numPr>
        <w:bidi/>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وصف الفقرات غير المميزة وتوفير قياسات ملائمة لها.</w:t>
      </w:r>
    </w:p>
    <w:p w:rsidR="00847D6B" w:rsidRDefault="00847D6B" w:rsidP="00847D6B">
      <w:pPr>
        <w:pStyle w:val="Paragraphedeliste"/>
        <w:numPr>
          <w:ilvl w:val="0"/>
          <w:numId w:val="1"/>
        </w:numPr>
        <w:bidi/>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lastRenderedPageBreak/>
        <w:t>توفير معلومات تساعد مستخدمي التقارير المالية في تخمين المخاطر والاحتمالات الخاصة بالفقرات المميزة وغير المميزة.</w:t>
      </w:r>
    </w:p>
    <w:p w:rsidR="00847D6B" w:rsidRDefault="00847D6B" w:rsidP="00847D6B">
      <w:pPr>
        <w:pStyle w:val="Paragraphedeliste"/>
        <w:numPr>
          <w:ilvl w:val="0"/>
          <w:numId w:val="1"/>
        </w:numPr>
        <w:bidi/>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توفير معلومات مهمة في حالة نقص المعلومات.</w:t>
      </w:r>
    </w:p>
    <w:p w:rsidR="00847D6B" w:rsidRDefault="00847D6B" w:rsidP="00847D6B">
      <w:pPr>
        <w:pStyle w:val="Paragraphedeliste"/>
        <w:bidi/>
        <w:rPr>
          <w:rFonts w:ascii="Traditional Arabic" w:hAnsi="Traditional Arabic" w:cs="Traditional Arabic" w:hint="cs"/>
          <w:b/>
          <w:bCs/>
          <w:sz w:val="32"/>
          <w:szCs w:val="32"/>
          <w:rtl/>
          <w:lang w:bidi="ar-DZ"/>
        </w:rPr>
      </w:pPr>
      <w:r w:rsidRPr="00847D6B">
        <w:rPr>
          <w:rFonts w:ascii="Traditional Arabic" w:hAnsi="Traditional Arabic" w:cs="Traditional Arabic" w:hint="cs"/>
          <w:b/>
          <w:bCs/>
          <w:sz w:val="32"/>
          <w:szCs w:val="32"/>
          <w:rtl/>
          <w:lang w:bidi="ar-DZ"/>
        </w:rPr>
        <w:t>أنواع الإفصاح:</w:t>
      </w:r>
    </w:p>
    <w:p w:rsidR="00847D6B" w:rsidRDefault="00847D6B" w:rsidP="00847D6B">
      <w:pPr>
        <w:pStyle w:val="Paragraphedeliste"/>
        <w:numPr>
          <w:ilvl w:val="0"/>
          <w:numId w:val="2"/>
        </w:numPr>
        <w:bidi/>
        <w:rPr>
          <w:rFonts w:ascii="Traditional Arabic" w:hAnsi="Traditional Arabic" w:cs="Traditional Arabic" w:hint="cs"/>
          <w:b/>
          <w:bCs/>
          <w:sz w:val="32"/>
          <w:szCs w:val="32"/>
          <w:lang w:bidi="ar-DZ"/>
        </w:rPr>
      </w:pPr>
      <w:r>
        <w:rPr>
          <w:rFonts w:ascii="Traditional Arabic" w:hAnsi="Traditional Arabic" w:cs="Traditional Arabic" w:hint="cs"/>
          <w:b/>
          <w:bCs/>
          <w:sz w:val="32"/>
          <w:szCs w:val="32"/>
          <w:rtl/>
          <w:lang w:bidi="ar-DZ"/>
        </w:rPr>
        <w:t xml:space="preserve">الإفصاح الشامل: </w:t>
      </w:r>
      <w:r w:rsidRPr="00847D6B">
        <w:rPr>
          <w:rFonts w:ascii="Traditional Arabic" w:hAnsi="Traditional Arabic" w:cs="Traditional Arabic" w:hint="cs"/>
          <w:sz w:val="32"/>
          <w:szCs w:val="32"/>
          <w:rtl/>
          <w:lang w:bidi="ar-DZ"/>
        </w:rPr>
        <w:t>أي إظهار كافة المعلومات المؤثرة على الربح وعلى المركز المالي سواء كانت في القوائم المالية أو الملاحظات الهامشية.</w:t>
      </w:r>
    </w:p>
    <w:p w:rsidR="00847D6B" w:rsidRDefault="00847D6B" w:rsidP="00847D6B">
      <w:pPr>
        <w:pStyle w:val="Paragraphedeliste"/>
        <w:numPr>
          <w:ilvl w:val="0"/>
          <w:numId w:val="2"/>
        </w:numPr>
        <w:bidi/>
        <w:rPr>
          <w:rFonts w:ascii="Traditional Arabic" w:hAnsi="Traditional Arabic" w:cs="Traditional Arabic" w:hint="cs"/>
          <w:b/>
          <w:bCs/>
          <w:sz w:val="32"/>
          <w:szCs w:val="32"/>
          <w:lang w:bidi="ar-DZ"/>
        </w:rPr>
      </w:pPr>
      <w:r>
        <w:rPr>
          <w:rFonts w:ascii="Traditional Arabic" w:hAnsi="Traditional Arabic" w:cs="Traditional Arabic" w:hint="cs"/>
          <w:b/>
          <w:bCs/>
          <w:sz w:val="32"/>
          <w:szCs w:val="32"/>
          <w:rtl/>
          <w:lang w:bidi="ar-DZ"/>
        </w:rPr>
        <w:t xml:space="preserve">الإفصاح التفاضلي: </w:t>
      </w:r>
      <w:r w:rsidRPr="00847D6B">
        <w:rPr>
          <w:rFonts w:ascii="Traditional Arabic" w:hAnsi="Traditional Arabic" w:cs="Traditional Arabic" w:hint="cs"/>
          <w:sz w:val="32"/>
          <w:szCs w:val="32"/>
          <w:rtl/>
          <w:lang w:bidi="ar-DZ"/>
        </w:rPr>
        <w:t>أي توفير المعلومات حسب حاجة مستخدمي المعلومات.</w:t>
      </w:r>
    </w:p>
    <w:p w:rsidR="00847D6B" w:rsidRDefault="00847D6B" w:rsidP="00847D6B">
      <w:pPr>
        <w:pStyle w:val="Paragraphedeliste"/>
        <w:numPr>
          <w:ilvl w:val="0"/>
          <w:numId w:val="2"/>
        </w:numPr>
        <w:bidi/>
        <w:rPr>
          <w:rFonts w:ascii="Traditional Arabic" w:hAnsi="Traditional Arabic" w:cs="Traditional Arabic" w:hint="cs"/>
          <w:b/>
          <w:bCs/>
          <w:sz w:val="32"/>
          <w:szCs w:val="32"/>
          <w:lang w:bidi="ar-DZ"/>
        </w:rPr>
      </w:pPr>
      <w:r>
        <w:rPr>
          <w:rFonts w:ascii="Traditional Arabic" w:hAnsi="Traditional Arabic" w:cs="Traditional Arabic" w:hint="cs"/>
          <w:b/>
          <w:bCs/>
          <w:sz w:val="32"/>
          <w:szCs w:val="32"/>
          <w:rtl/>
          <w:lang w:bidi="ar-DZ"/>
        </w:rPr>
        <w:t xml:space="preserve">الإفصاح الكافي: </w:t>
      </w:r>
      <w:r w:rsidRPr="00847D6B">
        <w:rPr>
          <w:rFonts w:ascii="Traditional Arabic" w:hAnsi="Traditional Arabic" w:cs="Traditional Arabic" w:hint="cs"/>
          <w:sz w:val="32"/>
          <w:szCs w:val="32"/>
          <w:rtl/>
          <w:lang w:bidi="ar-DZ"/>
        </w:rPr>
        <w:t>هنا يجب توفير الحد الأدنى من المعلومات بحيث تكون كافية وعادلة.</w:t>
      </w:r>
    </w:p>
    <w:p w:rsidR="00847D6B" w:rsidRPr="005A110C" w:rsidRDefault="00847D6B" w:rsidP="00847D6B">
      <w:pPr>
        <w:pStyle w:val="Paragraphedeliste"/>
        <w:numPr>
          <w:ilvl w:val="0"/>
          <w:numId w:val="2"/>
        </w:numPr>
        <w:bidi/>
        <w:rPr>
          <w:rFonts w:ascii="Traditional Arabic" w:hAnsi="Traditional Arabic" w:cs="Traditional Arabic" w:hint="cs"/>
          <w:b/>
          <w:bCs/>
          <w:sz w:val="32"/>
          <w:szCs w:val="32"/>
          <w:lang w:bidi="ar-DZ"/>
        </w:rPr>
      </w:pPr>
      <w:r>
        <w:rPr>
          <w:rFonts w:ascii="Traditional Arabic" w:hAnsi="Traditional Arabic" w:cs="Traditional Arabic" w:hint="cs"/>
          <w:b/>
          <w:bCs/>
          <w:sz w:val="32"/>
          <w:szCs w:val="32"/>
          <w:rtl/>
          <w:lang w:bidi="ar-DZ"/>
        </w:rPr>
        <w:t xml:space="preserve">الإفصاح المناسب: </w:t>
      </w:r>
      <w:r w:rsidRPr="00847D6B">
        <w:rPr>
          <w:rFonts w:ascii="Traditional Arabic" w:hAnsi="Traditional Arabic" w:cs="Traditional Arabic" w:hint="cs"/>
          <w:sz w:val="32"/>
          <w:szCs w:val="32"/>
          <w:rtl/>
          <w:lang w:bidi="ar-DZ"/>
        </w:rPr>
        <w:t>هدفه ضمان المساوات في توفير المعلومات لمتخذي القرار.</w:t>
      </w:r>
    </w:p>
    <w:p w:rsidR="005A110C" w:rsidRPr="005A110C" w:rsidRDefault="005A110C" w:rsidP="005A110C">
      <w:pPr>
        <w:pStyle w:val="Paragraphedeliste"/>
        <w:numPr>
          <w:ilvl w:val="0"/>
          <w:numId w:val="2"/>
        </w:numPr>
        <w:bidi/>
        <w:rPr>
          <w:rFonts w:ascii="Traditional Arabic" w:hAnsi="Traditional Arabic" w:cs="Traditional Arabic" w:hint="cs"/>
          <w:b/>
          <w:bCs/>
          <w:sz w:val="32"/>
          <w:szCs w:val="32"/>
          <w:lang w:bidi="ar-DZ"/>
        </w:rPr>
      </w:pPr>
      <w:r>
        <w:rPr>
          <w:rFonts w:ascii="Traditional Arabic" w:hAnsi="Traditional Arabic" w:cs="Traditional Arabic" w:hint="cs"/>
          <w:b/>
          <w:bCs/>
          <w:sz w:val="32"/>
          <w:szCs w:val="32"/>
          <w:rtl/>
          <w:lang w:bidi="ar-DZ"/>
        </w:rPr>
        <w:t>الإفصاح الوقائي:</w:t>
      </w:r>
      <w:r>
        <w:rPr>
          <w:rFonts w:ascii="Traditional Arabic" w:hAnsi="Traditional Arabic" w:cs="Traditional Arabic" w:hint="cs"/>
          <w:sz w:val="32"/>
          <w:szCs w:val="32"/>
          <w:rtl/>
          <w:lang w:bidi="ar-DZ"/>
        </w:rPr>
        <w:t xml:space="preserve"> أي جعل التقارير غير مضللة لمتخذي القرارات.</w:t>
      </w:r>
    </w:p>
    <w:p w:rsidR="005A110C" w:rsidRPr="005A110C" w:rsidRDefault="005A110C" w:rsidP="005A110C">
      <w:pPr>
        <w:pStyle w:val="Paragraphedeliste"/>
        <w:numPr>
          <w:ilvl w:val="0"/>
          <w:numId w:val="2"/>
        </w:numPr>
        <w:bidi/>
        <w:rPr>
          <w:rFonts w:ascii="Traditional Arabic" w:hAnsi="Traditional Arabic" w:cs="Traditional Arabic" w:hint="cs"/>
          <w:b/>
          <w:bCs/>
          <w:sz w:val="32"/>
          <w:szCs w:val="32"/>
          <w:lang w:bidi="ar-DZ"/>
        </w:rPr>
      </w:pPr>
      <w:r>
        <w:rPr>
          <w:rFonts w:ascii="Traditional Arabic" w:hAnsi="Traditional Arabic" w:cs="Traditional Arabic" w:hint="cs"/>
          <w:b/>
          <w:bCs/>
          <w:sz w:val="32"/>
          <w:szCs w:val="32"/>
          <w:rtl/>
          <w:lang w:bidi="ar-DZ"/>
        </w:rPr>
        <w:t>الإفصاح الانتقائي:</w:t>
      </w:r>
      <w:r>
        <w:rPr>
          <w:rFonts w:ascii="Traditional Arabic" w:hAnsi="Traditional Arabic" w:cs="Traditional Arabic" w:hint="cs"/>
          <w:sz w:val="32"/>
          <w:szCs w:val="32"/>
          <w:rtl/>
          <w:lang w:bidi="ar-DZ"/>
        </w:rPr>
        <w:t xml:space="preserve"> أي توفير للمحققين وغير المحققين معلومات معينة وغير منشورة تساعدهم في اتخاذ قراراتهم.</w:t>
      </w:r>
    </w:p>
    <w:p w:rsidR="005A110C" w:rsidRPr="00C5229F" w:rsidRDefault="00FD31B8" w:rsidP="005A110C">
      <w:pPr>
        <w:pStyle w:val="Paragraphedeliste"/>
        <w:numPr>
          <w:ilvl w:val="0"/>
          <w:numId w:val="2"/>
        </w:numPr>
        <w:bidi/>
        <w:rPr>
          <w:rFonts w:ascii="Traditional Arabic" w:hAnsi="Traditional Arabic" w:cs="Traditional Arabic" w:hint="cs"/>
          <w:b/>
          <w:bCs/>
          <w:sz w:val="32"/>
          <w:szCs w:val="32"/>
          <w:lang w:bidi="ar-DZ"/>
        </w:rPr>
      </w:pPr>
      <w:r>
        <w:rPr>
          <w:rFonts w:ascii="Traditional Arabic" w:hAnsi="Traditional Arabic" w:cs="Traditional Arabic" w:hint="cs"/>
          <w:b/>
          <w:bCs/>
          <w:sz w:val="32"/>
          <w:szCs w:val="32"/>
          <w:rtl/>
          <w:lang w:bidi="ar-DZ"/>
        </w:rPr>
        <w:t>الإفصاح التثقيفي الإعلامي:</w:t>
      </w:r>
      <w:r w:rsidRPr="00FD31B8">
        <w:rPr>
          <w:rFonts w:ascii="Traditional Arabic" w:hAnsi="Traditional Arabic" w:cs="Traditional Arabic" w:hint="cs"/>
          <w:sz w:val="32"/>
          <w:szCs w:val="32"/>
          <w:rtl/>
          <w:lang w:bidi="ar-DZ"/>
        </w:rPr>
        <w:t xml:space="preserve"> أي توفير معلومات تتجاوز الحد الأدنى الذي يكفي للوفاء بمتطلبات المستفيدين.</w:t>
      </w:r>
    </w:p>
    <w:p w:rsidR="00C5229F" w:rsidRPr="00C5229F" w:rsidRDefault="00C5229F" w:rsidP="00C5229F">
      <w:pPr>
        <w:bidi/>
        <w:ind w:left="720"/>
        <w:rPr>
          <w:rFonts w:ascii="Traditional Arabic" w:hAnsi="Traditional Arabic" w:cs="Traditional Arabic" w:hint="cs"/>
          <w:b/>
          <w:bCs/>
          <w:sz w:val="32"/>
          <w:szCs w:val="32"/>
          <w:lang w:bidi="ar-DZ"/>
        </w:rPr>
      </w:pPr>
    </w:p>
    <w:sectPr w:rsidR="00C5229F" w:rsidRPr="00C5229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E97" w:rsidRDefault="00AA1E97" w:rsidP="00FD31B8">
      <w:pPr>
        <w:spacing w:after="0" w:line="240" w:lineRule="auto"/>
      </w:pPr>
      <w:r>
        <w:separator/>
      </w:r>
    </w:p>
  </w:endnote>
  <w:endnote w:type="continuationSeparator" w:id="1">
    <w:p w:rsidR="00AA1E97" w:rsidRDefault="00AA1E97" w:rsidP="00FD3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E97" w:rsidRDefault="00AA1E97" w:rsidP="00FD31B8">
      <w:pPr>
        <w:spacing w:after="0" w:line="240" w:lineRule="auto"/>
      </w:pPr>
      <w:r>
        <w:separator/>
      </w:r>
    </w:p>
  </w:footnote>
  <w:footnote w:type="continuationSeparator" w:id="1">
    <w:p w:rsidR="00AA1E97" w:rsidRDefault="00AA1E97" w:rsidP="00FD31B8">
      <w:pPr>
        <w:spacing w:after="0" w:line="240" w:lineRule="auto"/>
      </w:pPr>
      <w:r>
        <w:continuationSeparator/>
      </w:r>
    </w:p>
  </w:footnote>
  <w:footnote w:id="2">
    <w:p w:rsidR="00C5229F" w:rsidRDefault="00C5229F">
      <w:pPr>
        <w:pStyle w:val="Notedebasdepage"/>
        <w:rPr>
          <w:rFonts w:hint="cs"/>
          <w:rtl/>
          <w:lang w:bidi="ar-DZ"/>
        </w:rPr>
      </w:pPr>
      <w:r>
        <w:rPr>
          <w:rStyle w:val="Appelnotedebasdep"/>
        </w:rPr>
        <w:footnoteRef/>
      </w:r>
      <w:r>
        <w:t xml:space="preserve"> </w:t>
      </w:r>
      <w:hyperlink r:id="rId1" w:history="1">
        <w:r>
          <w:rPr>
            <w:rStyle w:val="Lienhypertexte"/>
          </w:rPr>
          <w:t>https://www.iasj.net/iasj?func=fulltext&amp;aId=25905</w:t>
        </w:r>
      </w:hyperlink>
    </w:p>
  </w:footnote>
  <w:footnote w:id="3">
    <w:p w:rsidR="00E55986" w:rsidRPr="00E55986" w:rsidRDefault="00E55986">
      <w:pPr>
        <w:pStyle w:val="Notedebasdepage"/>
        <w:rPr>
          <w:rFonts w:hint="cs"/>
          <w:rtl/>
          <w:lang w:bidi="ar-DZ"/>
        </w:rPr>
      </w:pPr>
      <w:r>
        <w:rPr>
          <w:rStyle w:val="Appelnotedebasdep"/>
        </w:rPr>
        <w:footnoteRef/>
      </w:r>
      <w:r>
        <w:t xml:space="preserve"> </w:t>
      </w:r>
      <w:hyperlink r:id="rId2" w:history="1">
        <w:r>
          <w:rPr>
            <w:rStyle w:val="Lienhypertexte"/>
          </w:rPr>
          <w:t>https://www.asjp.cerist.dz/en/article/5220</w:t>
        </w:r>
      </w:hyperlink>
    </w:p>
  </w:footnote>
  <w:footnote w:id="4">
    <w:p w:rsidR="00FD31B8" w:rsidRDefault="00FD31B8">
      <w:pPr>
        <w:pStyle w:val="Notedebasdepage"/>
        <w:rPr>
          <w:rFonts w:hint="cs"/>
          <w:rtl/>
          <w:lang w:bidi="ar-DZ"/>
        </w:rPr>
      </w:pPr>
      <w:r>
        <w:rPr>
          <w:rStyle w:val="Appelnotedebasdep"/>
        </w:rPr>
        <w:footnoteRef/>
      </w:r>
      <w:r>
        <w:t xml:space="preserve"> </w:t>
      </w:r>
      <w:hyperlink r:id="rId3" w:history="1">
        <w:r>
          <w:rPr>
            <w:rStyle w:val="Lienhypertexte"/>
          </w:rPr>
          <w:t>https://www.iasj.net/iasj?func=fulltext&amp;aId=43411</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155AD"/>
    <w:multiLevelType w:val="hybridMultilevel"/>
    <w:tmpl w:val="AD867F6A"/>
    <w:lvl w:ilvl="0" w:tplc="126C00EC">
      <w:start w:val="1"/>
      <w:numFmt w:val="arabicAlpha"/>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AD35148"/>
    <w:multiLevelType w:val="hybridMultilevel"/>
    <w:tmpl w:val="D4F8ADD4"/>
    <w:lvl w:ilvl="0" w:tplc="97089760">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847D6B"/>
    <w:rsid w:val="004F3566"/>
    <w:rsid w:val="005A110C"/>
    <w:rsid w:val="00847D6B"/>
    <w:rsid w:val="009A428A"/>
    <w:rsid w:val="00AA1E97"/>
    <w:rsid w:val="00C5229F"/>
    <w:rsid w:val="00CF1935"/>
    <w:rsid w:val="00E26BF6"/>
    <w:rsid w:val="00E55986"/>
    <w:rsid w:val="00FD31B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7D6B"/>
    <w:pPr>
      <w:ind w:left="720"/>
      <w:contextualSpacing/>
    </w:pPr>
  </w:style>
  <w:style w:type="paragraph" w:styleId="Notedebasdepage">
    <w:name w:val="footnote text"/>
    <w:basedOn w:val="Normal"/>
    <w:link w:val="NotedebasdepageCar"/>
    <w:uiPriority w:val="99"/>
    <w:semiHidden/>
    <w:unhideWhenUsed/>
    <w:rsid w:val="00FD31B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D31B8"/>
    <w:rPr>
      <w:sz w:val="20"/>
      <w:szCs w:val="20"/>
    </w:rPr>
  </w:style>
  <w:style w:type="character" w:styleId="Appelnotedebasdep">
    <w:name w:val="footnote reference"/>
    <w:basedOn w:val="Policepardfaut"/>
    <w:uiPriority w:val="99"/>
    <w:semiHidden/>
    <w:unhideWhenUsed/>
    <w:rsid w:val="00FD31B8"/>
    <w:rPr>
      <w:vertAlign w:val="superscript"/>
    </w:rPr>
  </w:style>
  <w:style w:type="character" w:styleId="Lienhypertexte">
    <w:name w:val="Hyperlink"/>
    <w:basedOn w:val="Policepardfaut"/>
    <w:uiPriority w:val="99"/>
    <w:semiHidden/>
    <w:unhideWhenUsed/>
    <w:rsid w:val="00FD31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asj.net/iasj?func=fulltext&amp;aId=43411" TargetMode="External"/><Relationship Id="rId2" Type="http://schemas.openxmlformats.org/officeDocument/2006/relationships/hyperlink" Target="https://www.asjp.cerist.dz/en/article/5220" TargetMode="External"/><Relationship Id="rId1" Type="http://schemas.openxmlformats.org/officeDocument/2006/relationships/hyperlink" Target="https://www.iasj.net/iasj?func=fulltext&amp;aId=2590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322</Words>
  <Characters>1771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2020-06-12T18:49:00Z</dcterms:created>
  <dcterms:modified xsi:type="dcterms:W3CDTF">2020-06-12T19:23:00Z</dcterms:modified>
</cp:coreProperties>
</file>