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7C" w:rsidRDefault="00EE7C59" w:rsidP="009F0BD2">
      <w:pPr>
        <w:autoSpaceDE w:val="0"/>
        <w:autoSpaceDN w:val="0"/>
        <w:bidi/>
        <w:adjustRightInd w:val="0"/>
        <w:spacing w:after="0" w:line="276" w:lineRule="auto"/>
        <w:ind w:left="-341" w:right="-567"/>
        <w:rPr>
          <w:rFonts w:ascii="Simplified Arabic" w:hAnsi="Simplified Arabic" w:cs="Simplified Arabic"/>
          <w:b/>
          <w:bCs/>
          <w:sz w:val="36"/>
          <w:szCs w:val="36"/>
          <w:u w:val="single"/>
          <w:rtl/>
        </w:rPr>
      </w:pPr>
      <w:bookmarkStart w:id="0" w:name="_GoBack"/>
      <w:bookmarkEnd w:id="0"/>
      <w:r w:rsidRPr="00C97AC0">
        <w:rPr>
          <w:rFonts w:ascii="Simplified Arabic" w:hAnsi="Simplified Arabic" w:cs="Simplified Arabic"/>
          <w:sz w:val="32"/>
          <w:szCs w:val="32"/>
          <w:rtl/>
        </w:rPr>
        <w:t xml:space="preserve">     </w:t>
      </w:r>
      <w:r w:rsidR="00C1667C" w:rsidRPr="00C1667C">
        <w:rPr>
          <w:rFonts w:ascii="Simplified Arabic" w:hAnsi="Simplified Arabic" w:cs="Simplified Arabic" w:hint="cs"/>
          <w:b/>
          <w:bCs/>
          <w:sz w:val="36"/>
          <w:szCs w:val="36"/>
          <w:u w:val="single"/>
          <w:rtl/>
        </w:rPr>
        <w:t xml:space="preserve">النقد </w:t>
      </w:r>
      <w:r w:rsidR="009F0BD2">
        <w:rPr>
          <w:rFonts w:ascii="Simplified Arabic" w:hAnsi="Simplified Arabic" w:cs="Simplified Arabic" w:hint="cs"/>
          <w:b/>
          <w:bCs/>
          <w:sz w:val="36"/>
          <w:szCs w:val="36"/>
          <w:u w:val="single"/>
          <w:rtl/>
        </w:rPr>
        <w:t>الاجتماعي</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ثمة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علاقة</w:t>
      </w:r>
      <w:r w:rsidRPr="009F0BD2">
        <w:rPr>
          <w:rFonts w:ascii="Simplified Arabic" w:hAnsi="Simplified Arabic" w:cs="Simplified Arabic"/>
          <w:sz w:val="32"/>
          <w:szCs w:val="32"/>
        </w:rPr>
        <w:t xml:space="preserve"> </w:t>
      </w:r>
      <w:r>
        <w:rPr>
          <w:rFonts w:ascii="Simplified Arabic" w:hAnsi="Simplified Arabic" w:cs="Simplified Arabic" w:hint="cs"/>
          <w:sz w:val="32"/>
          <w:szCs w:val="32"/>
          <w:rtl/>
        </w:rPr>
        <w:t>وثيقة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بين</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الأدب</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والمجتمع،</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إذ</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أقر</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بها</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الفلاسفة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والعلماء</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منذ</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القديم</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في</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ظل</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نظرية</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المحاكا</w:t>
      </w:r>
      <w:r w:rsidR="003C716B">
        <w:rPr>
          <w:rFonts w:ascii="Simplified Arabic" w:hAnsi="Simplified Arabic" w:cs="Simplified Arabic" w:hint="cs"/>
          <w:sz w:val="32"/>
          <w:szCs w:val="32"/>
          <w:rtl/>
        </w:rPr>
        <w:t>ة</w:t>
      </w:r>
      <w:r w:rsidRPr="009F0BD2">
        <w:rPr>
          <w:rFonts w:ascii="Simplified Arabic" w:hAnsi="Simplified Arabic" w:cs="Simplified Arabic" w:hint="cs"/>
          <w:sz w:val="32"/>
          <w:szCs w:val="32"/>
          <w:rtl/>
        </w:rPr>
        <w:t>،</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نظرية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الانعكاس</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وشتى</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الآراء</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والأفكار</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المطروحة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في</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هذا</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المجال،</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ولم</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تکد</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تظهر</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نظرية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الجدلية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الماركسية</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حتى</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تأسّس</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على</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بنيانها،</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المنهج</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الاجتماعي</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للأدب؛</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أحد</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المناهج</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الرئيسة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في</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الدراسات</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الأدبية</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والنقدية</w:t>
      </w:r>
      <w:r w:rsidRPr="009F0BD2">
        <w:rPr>
          <w:rFonts w:ascii="Simplified Arabic" w:hAnsi="Simplified Arabic" w:cs="Simplified Arabic" w:hint="cs"/>
          <w:sz w:val="32"/>
          <w:szCs w:val="32"/>
          <w:rtl/>
        </w:rPr>
        <w:t>،</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وهو</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منهج</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يربط</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بين</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الأدب</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والمجتمع</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في</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مختلف</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المستويات،</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ويدرس</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ويحلّل</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العلاقة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بين</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المجتمع</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والأدب</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باعتباره</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انعكاسا</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للحياة</w:t>
      </w:r>
      <w:r w:rsidRPr="009F0BD2">
        <w:rPr>
          <w:rFonts w:ascii="Simplified Arabic" w:hAnsi="Simplified Arabic" w:cs="Simplified Arabic"/>
          <w:sz w:val="32"/>
          <w:szCs w:val="32"/>
        </w:rPr>
        <w:t>.</w:t>
      </w:r>
    </w:p>
    <w:p w:rsidR="003C716B" w:rsidRPr="003C716B" w:rsidRDefault="003C716B" w:rsidP="00177AF6">
      <w:pPr>
        <w:shd w:val="clear" w:color="auto" w:fill="FFFFFF"/>
        <w:bidi/>
        <w:spacing w:after="0" w:line="240" w:lineRule="auto"/>
        <w:ind w:left="-483" w:firstLine="483"/>
        <w:rPr>
          <w:rFonts w:ascii="Simplified Arabic" w:hAnsi="Simplified Arabic" w:cs="Simplified Arabic"/>
          <w:sz w:val="32"/>
          <w:szCs w:val="32"/>
        </w:rPr>
      </w:pPr>
      <w:r w:rsidRPr="00177AF6">
        <w:rPr>
          <w:rFonts w:ascii="Simplified Arabic" w:hAnsi="Simplified Arabic" w:cs="Simplified Arabic" w:hint="cs"/>
          <w:b/>
          <w:bCs/>
          <w:sz w:val="32"/>
          <w:szCs w:val="32"/>
          <w:rtl/>
        </w:rPr>
        <w:t>م</w:t>
      </w:r>
      <w:r w:rsidRPr="003C716B">
        <w:rPr>
          <w:rFonts w:ascii="Simplified Arabic" w:hAnsi="Simplified Arabic" w:cs="Simplified Arabic"/>
          <w:b/>
          <w:bCs/>
          <w:sz w:val="32"/>
          <w:szCs w:val="32"/>
          <w:rtl/>
        </w:rPr>
        <w:t xml:space="preserve">فهوم </w:t>
      </w:r>
      <w:r w:rsidR="00177AF6" w:rsidRPr="003C716B">
        <w:rPr>
          <w:rFonts w:ascii="Simplified Arabic" w:hAnsi="Simplified Arabic" w:cs="Simplified Arabic" w:hint="cs"/>
          <w:b/>
          <w:bCs/>
          <w:sz w:val="32"/>
          <w:szCs w:val="32"/>
          <w:rtl/>
        </w:rPr>
        <w:t>وأصوله</w:t>
      </w:r>
      <w:r w:rsidR="00177AF6" w:rsidRPr="003C716B">
        <w:rPr>
          <w:rFonts w:ascii="Simplified Arabic" w:hAnsi="Simplified Arabic" w:cs="Simplified Arabic" w:hint="cs"/>
          <w:sz w:val="32"/>
          <w:szCs w:val="32"/>
          <w:rtl/>
        </w:rPr>
        <w:t>:</w:t>
      </w:r>
    </w:p>
    <w:p w:rsidR="003C716B" w:rsidRPr="003C716B" w:rsidRDefault="003C716B" w:rsidP="00177AF6">
      <w:pPr>
        <w:shd w:val="clear" w:color="auto" w:fill="FFFFFF"/>
        <w:bidi/>
        <w:spacing w:after="0" w:line="240" w:lineRule="auto"/>
        <w:ind w:left="-483" w:firstLine="483"/>
        <w:rPr>
          <w:rFonts w:ascii="Simplified Arabic" w:hAnsi="Simplified Arabic" w:cs="Simplified Arabic"/>
          <w:sz w:val="32"/>
          <w:szCs w:val="32"/>
        </w:rPr>
      </w:pPr>
      <w:r w:rsidRPr="003C716B">
        <w:rPr>
          <w:rFonts w:ascii="Simplified Arabic" w:hAnsi="Simplified Arabic" w:cs="Simplified Arabic"/>
          <w:sz w:val="32"/>
          <w:szCs w:val="32"/>
          <w:rtl/>
        </w:rPr>
        <w:t xml:space="preserve">المنهج الاجتماعي من المناهج الأساسية في الدراسات الأدبية والنقدية، وقد تولد هذا المنهج من المنهج التاريخي، بمعنى أن المنطلق التاريخي كان هو التأسيس الطبيعي للمنطلق الاجتماعي عبر محوري الزمان </w:t>
      </w:r>
      <w:r w:rsidR="00177AF6" w:rsidRPr="003C716B">
        <w:rPr>
          <w:rFonts w:ascii="Simplified Arabic" w:hAnsi="Simplified Arabic" w:cs="Simplified Arabic" w:hint="cs"/>
          <w:sz w:val="32"/>
          <w:szCs w:val="32"/>
          <w:rtl/>
        </w:rPr>
        <w:t>والمكان.</w:t>
      </w:r>
      <w:r w:rsidRPr="003C716B">
        <w:rPr>
          <w:rFonts w:ascii="Simplified Arabic" w:hAnsi="Simplified Arabic" w:cs="Simplified Arabic"/>
          <w:sz w:val="32"/>
          <w:szCs w:val="32"/>
          <w:rtl/>
        </w:rPr>
        <w:t xml:space="preserve"> ولذلك قال </w:t>
      </w:r>
      <w:r w:rsidR="00177AF6" w:rsidRPr="003C716B">
        <w:rPr>
          <w:rFonts w:ascii="Simplified Arabic" w:hAnsi="Simplified Arabic" w:cs="Simplified Arabic" w:hint="cs"/>
          <w:sz w:val="32"/>
          <w:szCs w:val="32"/>
          <w:rtl/>
        </w:rPr>
        <w:t>بعضهم:</w:t>
      </w:r>
      <w:r w:rsidRPr="003C716B">
        <w:rPr>
          <w:rFonts w:ascii="Simplified Arabic" w:hAnsi="Simplified Arabic" w:cs="Simplified Arabic"/>
          <w:sz w:val="32"/>
          <w:szCs w:val="32"/>
          <w:rtl/>
        </w:rPr>
        <w:t xml:space="preserve"> إن هذا المنهج هو جزء من المنهج التاريخي. والذين فرقوا بين المنهجين </w:t>
      </w:r>
      <w:r w:rsidR="00177AF6" w:rsidRPr="003C716B">
        <w:rPr>
          <w:rFonts w:ascii="Simplified Arabic" w:hAnsi="Simplified Arabic" w:cs="Simplified Arabic" w:hint="cs"/>
          <w:sz w:val="32"/>
          <w:szCs w:val="32"/>
          <w:rtl/>
        </w:rPr>
        <w:t>قالوا:</w:t>
      </w:r>
      <w:r w:rsidRPr="003C716B">
        <w:rPr>
          <w:rFonts w:ascii="Simplified Arabic" w:hAnsi="Simplified Arabic" w:cs="Simplified Arabic"/>
          <w:sz w:val="32"/>
          <w:szCs w:val="32"/>
          <w:rtl/>
        </w:rPr>
        <w:t xml:space="preserve"> إن الدرس الأدبي إذا تناول النصوص القديمة كان </w:t>
      </w:r>
      <w:r w:rsidR="00177AF6" w:rsidRPr="003C716B">
        <w:rPr>
          <w:rFonts w:ascii="Simplified Arabic" w:hAnsi="Simplified Arabic" w:cs="Simplified Arabic" w:hint="cs"/>
          <w:sz w:val="32"/>
          <w:szCs w:val="32"/>
          <w:rtl/>
        </w:rPr>
        <w:t>تاريخيًا،</w:t>
      </w:r>
      <w:r w:rsidRPr="003C716B">
        <w:rPr>
          <w:rFonts w:ascii="Simplified Arabic" w:hAnsi="Simplified Arabic" w:cs="Simplified Arabic"/>
          <w:sz w:val="32"/>
          <w:szCs w:val="32"/>
          <w:rtl/>
        </w:rPr>
        <w:t xml:space="preserve"> وإذا توجه إلى درس النص</w:t>
      </w:r>
      <w:r w:rsidR="00177AF6">
        <w:rPr>
          <w:rFonts w:ascii="Simplified Arabic" w:hAnsi="Simplified Arabic" w:cs="Simplified Arabic"/>
          <w:sz w:val="32"/>
          <w:szCs w:val="32"/>
          <w:rtl/>
        </w:rPr>
        <w:t xml:space="preserve">وص الحديثة كان نقدًا اجتماعيًا </w:t>
      </w:r>
    </w:p>
    <w:p w:rsidR="003C716B" w:rsidRPr="003C716B" w:rsidRDefault="003C716B" w:rsidP="00177AF6">
      <w:pPr>
        <w:shd w:val="clear" w:color="auto" w:fill="FFFFFF"/>
        <w:bidi/>
        <w:spacing w:after="0" w:line="240" w:lineRule="auto"/>
        <w:ind w:left="-483"/>
        <w:rPr>
          <w:rFonts w:ascii="Simplified Arabic" w:hAnsi="Simplified Arabic" w:cs="Simplified Arabic"/>
          <w:sz w:val="32"/>
          <w:szCs w:val="32"/>
        </w:rPr>
      </w:pPr>
      <w:r w:rsidRPr="003C716B">
        <w:rPr>
          <w:rFonts w:ascii="Simplified Arabic" w:hAnsi="Simplified Arabic" w:cs="Simplified Arabic"/>
          <w:sz w:val="32"/>
          <w:szCs w:val="32"/>
          <w:rtl/>
        </w:rPr>
        <w:t>وهو منهج يربط بين الأدب والمجتمع بطبقاته المختلفة، فيكون الأدب ممثلاً للحياة على المستوى الجماعي لا الفردي؛ باعتبار أن المجتمع هو المنتج الفعلي للأعمال الإبداعية، فالقارئ حاضر في ذهن الأديب وهو وسيلته وغايته في آن واحد.</w:t>
      </w:r>
    </w:p>
    <w:p w:rsidR="00177AF6" w:rsidRDefault="003C716B" w:rsidP="00177AF6">
      <w:pPr>
        <w:shd w:val="clear" w:color="auto" w:fill="FFFFFF"/>
        <w:bidi/>
        <w:spacing w:after="0" w:line="240" w:lineRule="auto"/>
        <w:ind w:left="-483"/>
        <w:rPr>
          <w:rFonts w:ascii="Simplified Arabic" w:hAnsi="Simplified Arabic" w:cs="Simplified Arabic"/>
          <w:sz w:val="32"/>
          <w:szCs w:val="32"/>
          <w:rtl/>
        </w:rPr>
      </w:pPr>
      <w:r w:rsidRPr="003C716B">
        <w:rPr>
          <w:rFonts w:ascii="Simplified Arabic" w:hAnsi="Simplified Arabic" w:cs="Simplified Arabic"/>
          <w:sz w:val="32"/>
          <w:szCs w:val="32"/>
          <w:rtl/>
        </w:rPr>
        <w:t xml:space="preserve">إن بدايات النقد الاجتماعي تعود إلى نهاية القرن الثامن عشر ومطلع القرن التاسع عشر عاد بها أدباء فرنسيون كانوا قد هاجروا إلى ألمانيا وانكلترا </w:t>
      </w:r>
      <w:r w:rsidR="00177AF6" w:rsidRPr="003C716B">
        <w:rPr>
          <w:rFonts w:ascii="Simplified Arabic" w:hAnsi="Simplified Arabic" w:cs="Simplified Arabic" w:hint="cs"/>
          <w:sz w:val="32"/>
          <w:szCs w:val="32"/>
          <w:rtl/>
        </w:rPr>
        <w:t>أمثال:</w:t>
      </w:r>
      <w:r w:rsidRPr="003C716B">
        <w:rPr>
          <w:rFonts w:ascii="Simplified Arabic" w:hAnsi="Simplified Arabic" w:cs="Simplified Arabic"/>
          <w:sz w:val="32"/>
          <w:szCs w:val="32"/>
          <w:rtl/>
        </w:rPr>
        <w:t xml:space="preserve"> " مدام ستال " التي أصدرت في عام 1800م </w:t>
      </w:r>
      <w:r w:rsidR="00177AF6" w:rsidRPr="003C716B">
        <w:rPr>
          <w:rFonts w:ascii="Simplified Arabic" w:hAnsi="Simplified Arabic" w:cs="Simplified Arabic" w:hint="cs"/>
          <w:sz w:val="32"/>
          <w:szCs w:val="32"/>
          <w:rtl/>
        </w:rPr>
        <w:t>كتابا:</w:t>
      </w:r>
      <w:r w:rsidRPr="003C716B">
        <w:rPr>
          <w:rFonts w:ascii="Simplified Arabic" w:hAnsi="Simplified Arabic" w:cs="Simplified Arabic"/>
          <w:sz w:val="32"/>
          <w:szCs w:val="32"/>
          <w:rtl/>
        </w:rPr>
        <w:t xml:space="preserve"> (عن الأدب من </w:t>
      </w:r>
      <w:r w:rsidR="00177AF6">
        <w:rPr>
          <w:rFonts w:ascii="Simplified Arabic" w:hAnsi="Simplified Arabic" w:cs="Simplified Arabic"/>
          <w:sz w:val="32"/>
          <w:szCs w:val="32"/>
          <w:rtl/>
        </w:rPr>
        <w:t xml:space="preserve">حيث علاقاته بالنظم </w:t>
      </w:r>
      <w:r w:rsidR="00177AF6">
        <w:rPr>
          <w:rFonts w:ascii="Simplified Arabic" w:hAnsi="Simplified Arabic" w:cs="Simplified Arabic" w:hint="cs"/>
          <w:sz w:val="32"/>
          <w:szCs w:val="32"/>
          <w:rtl/>
        </w:rPr>
        <w:t xml:space="preserve">الاجتماعية) </w:t>
      </w:r>
      <w:r w:rsidRPr="003C716B">
        <w:rPr>
          <w:rFonts w:ascii="Simplified Arabic" w:hAnsi="Simplified Arabic" w:cs="Simplified Arabic"/>
          <w:sz w:val="32"/>
          <w:szCs w:val="32"/>
          <w:rtl/>
        </w:rPr>
        <w:t>  </w:t>
      </w:r>
    </w:p>
    <w:p w:rsidR="003C716B" w:rsidRPr="003C716B" w:rsidRDefault="003C716B" w:rsidP="00177AF6">
      <w:pPr>
        <w:shd w:val="clear" w:color="auto" w:fill="FFFFFF"/>
        <w:bidi/>
        <w:spacing w:after="0" w:line="240" w:lineRule="auto"/>
        <w:ind w:left="-483"/>
        <w:rPr>
          <w:rFonts w:ascii="Simplified Arabic" w:hAnsi="Simplified Arabic" w:cs="Simplified Arabic"/>
          <w:sz w:val="32"/>
          <w:szCs w:val="32"/>
        </w:rPr>
      </w:pPr>
      <w:r w:rsidRPr="003C716B">
        <w:rPr>
          <w:rFonts w:ascii="Simplified Arabic" w:hAnsi="Simplified Arabic" w:cs="Simplified Arabic"/>
          <w:sz w:val="32"/>
          <w:szCs w:val="32"/>
          <w:rtl/>
        </w:rPr>
        <w:t xml:space="preserve"> </w:t>
      </w:r>
      <w:r w:rsidR="00177AF6">
        <w:rPr>
          <w:rFonts w:ascii="Simplified Arabic" w:hAnsi="Simplified Arabic" w:cs="Simplified Arabic" w:hint="cs"/>
          <w:sz w:val="32"/>
          <w:szCs w:val="32"/>
          <w:rtl/>
        </w:rPr>
        <w:t>"</w:t>
      </w:r>
      <w:r w:rsidRPr="003C716B">
        <w:rPr>
          <w:rFonts w:ascii="Simplified Arabic" w:hAnsi="Simplified Arabic" w:cs="Simplified Arabic"/>
          <w:sz w:val="32"/>
          <w:szCs w:val="32"/>
          <w:rtl/>
        </w:rPr>
        <w:t xml:space="preserve">وشاتو بريان" الذي أصدر عام 1802 </w:t>
      </w:r>
      <w:r w:rsidR="00177AF6" w:rsidRPr="003C716B">
        <w:rPr>
          <w:rFonts w:ascii="Simplified Arabic" w:hAnsi="Simplified Arabic" w:cs="Simplified Arabic" w:hint="cs"/>
          <w:sz w:val="32"/>
          <w:szCs w:val="32"/>
          <w:rtl/>
        </w:rPr>
        <w:t>م كتاب:</w:t>
      </w:r>
      <w:r w:rsidRPr="003C716B">
        <w:rPr>
          <w:rFonts w:ascii="Simplified Arabic" w:hAnsi="Simplified Arabic" w:cs="Simplified Arabic"/>
          <w:sz w:val="32"/>
          <w:szCs w:val="32"/>
          <w:rtl/>
        </w:rPr>
        <w:t xml:space="preserve"> (عبقرية </w:t>
      </w:r>
      <w:r w:rsidR="00177AF6" w:rsidRPr="003C716B">
        <w:rPr>
          <w:rFonts w:ascii="Simplified Arabic" w:hAnsi="Simplified Arabic" w:cs="Simplified Arabic" w:hint="cs"/>
          <w:sz w:val="32"/>
          <w:szCs w:val="32"/>
          <w:rtl/>
        </w:rPr>
        <w:t>المسيحية).</w:t>
      </w:r>
      <w:r w:rsidRPr="003C716B">
        <w:rPr>
          <w:rFonts w:ascii="Simplified Arabic" w:hAnsi="Simplified Arabic" w:cs="Simplified Arabic"/>
          <w:sz w:val="32"/>
          <w:szCs w:val="32"/>
          <w:rtl/>
        </w:rPr>
        <w:t xml:space="preserve">  فقد كانا بداية لخط من الدارسين والنقاد يضعون المجتمع نصب أعينهم حين يزاولون </w:t>
      </w:r>
      <w:r w:rsidR="00177AF6" w:rsidRPr="003C716B">
        <w:rPr>
          <w:rFonts w:ascii="Simplified Arabic" w:hAnsi="Simplified Arabic" w:cs="Simplified Arabic" w:hint="cs"/>
          <w:sz w:val="32"/>
          <w:szCs w:val="32"/>
          <w:rtl/>
        </w:rPr>
        <w:t>النقد،</w:t>
      </w:r>
      <w:r w:rsidRPr="003C716B">
        <w:rPr>
          <w:rFonts w:ascii="Simplified Arabic" w:hAnsi="Simplified Arabic" w:cs="Simplified Arabic"/>
          <w:sz w:val="32"/>
          <w:szCs w:val="32"/>
          <w:rtl/>
        </w:rPr>
        <w:t xml:space="preserve"> ومن </w:t>
      </w:r>
      <w:proofErr w:type="gramStart"/>
      <w:r w:rsidRPr="003C716B">
        <w:rPr>
          <w:rFonts w:ascii="Simplified Arabic" w:hAnsi="Simplified Arabic" w:cs="Simplified Arabic"/>
          <w:sz w:val="32"/>
          <w:szCs w:val="32"/>
          <w:rtl/>
        </w:rPr>
        <w:t xml:space="preserve">أولئك </w:t>
      </w:r>
      <w:r w:rsidR="00177AF6">
        <w:rPr>
          <w:rFonts w:ascii="Simplified Arabic" w:hAnsi="Simplified Arabic" w:cs="Simplified Arabic" w:hint="cs"/>
          <w:sz w:val="32"/>
          <w:szCs w:val="32"/>
          <w:rtl/>
        </w:rPr>
        <w:t xml:space="preserve"> "</w:t>
      </w:r>
      <w:proofErr w:type="gramEnd"/>
      <w:r w:rsidR="00177AF6">
        <w:rPr>
          <w:rFonts w:ascii="Simplified Arabic" w:hAnsi="Simplified Arabic" w:cs="Simplified Arabic" w:hint="cs"/>
          <w:sz w:val="32"/>
          <w:szCs w:val="32"/>
          <w:rtl/>
        </w:rPr>
        <w:t xml:space="preserve"> </w:t>
      </w:r>
      <w:r w:rsidRPr="003C716B">
        <w:rPr>
          <w:rFonts w:ascii="Simplified Arabic" w:hAnsi="Simplified Arabic" w:cs="Simplified Arabic"/>
          <w:sz w:val="32"/>
          <w:szCs w:val="32"/>
          <w:rtl/>
        </w:rPr>
        <w:t xml:space="preserve">قلِّمان ... ثم جاء سنت – بيف 1804-1869م الذي احتفل بالمجتمع وبظروف </w:t>
      </w:r>
      <w:bookmarkStart w:id="1" w:name="_ftnref6"/>
      <w:r w:rsidR="00177AF6" w:rsidRPr="003C716B">
        <w:rPr>
          <w:rFonts w:ascii="Simplified Arabic" w:hAnsi="Simplified Arabic" w:cs="Simplified Arabic" w:hint="cs"/>
          <w:sz w:val="32"/>
          <w:szCs w:val="32"/>
          <w:rtl/>
        </w:rPr>
        <w:t>الأديب.</w:t>
      </w:r>
      <w:bookmarkEnd w:id="1"/>
      <w:r w:rsidR="00177AF6" w:rsidRPr="003C716B">
        <w:rPr>
          <w:rFonts w:ascii="Simplified Arabic" w:hAnsi="Simplified Arabic" w:cs="Simplified Arabic"/>
          <w:sz w:val="32"/>
          <w:szCs w:val="32"/>
        </w:rPr>
        <w:t xml:space="preserve"> </w:t>
      </w:r>
    </w:p>
    <w:p w:rsidR="003C716B" w:rsidRPr="003C716B" w:rsidRDefault="003C716B" w:rsidP="00177AF6">
      <w:pPr>
        <w:bidi/>
        <w:spacing w:after="0" w:line="240" w:lineRule="auto"/>
        <w:ind w:left="-483" w:firstLine="483"/>
        <w:rPr>
          <w:rFonts w:ascii="Simplified Arabic" w:hAnsi="Simplified Arabic" w:cs="Simplified Arabic"/>
          <w:sz w:val="32"/>
          <w:szCs w:val="32"/>
          <w:rtl/>
        </w:rPr>
      </w:pPr>
    </w:p>
    <w:p w:rsidR="003C716B" w:rsidRDefault="003C716B" w:rsidP="00177AF6">
      <w:pPr>
        <w:shd w:val="clear" w:color="auto" w:fill="FFFFFF"/>
        <w:bidi/>
        <w:spacing w:after="0" w:line="240" w:lineRule="auto"/>
        <w:ind w:left="-483" w:firstLine="483"/>
        <w:rPr>
          <w:rFonts w:ascii="Simplified Arabic" w:hAnsi="Simplified Arabic" w:cs="Simplified Arabic"/>
          <w:sz w:val="32"/>
          <w:szCs w:val="32"/>
          <w:rtl/>
        </w:rPr>
      </w:pPr>
      <w:r w:rsidRPr="003C716B">
        <w:rPr>
          <w:rFonts w:ascii="Simplified Arabic" w:hAnsi="Simplified Arabic" w:cs="Simplified Arabic"/>
          <w:sz w:val="32"/>
          <w:szCs w:val="32"/>
          <w:rtl/>
        </w:rPr>
        <w:lastRenderedPageBreak/>
        <w:t xml:space="preserve">ويمكن عدّ التحليلات التي حواها كتاب الناقد "هيبوليت تين" في كتابه "تاريخ الأدب </w:t>
      </w:r>
      <w:r w:rsidR="00177AF6">
        <w:rPr>
          <w:rFonts w:ascii="Simplified Arabic" w:hAnsi="Simplified Arabic" w:cs="Simplified Arabic" w:hint="cs"/>
          <w:sz w:val="32"/>
          <w:szCs w:val="32"/>
          <w:rtl/>
        </w:rPr>
        <w:t xml:space="preserve">وتحليله" </w:t>
      </w:r>
      <w:r w:rsidR="00177AF6" w:rsidRPr="003C716B">
        <w:rPr>
          <w:rFonts w:ascii="Simplified Arabic" w:hAnsi="Simplified Arabic" w:cs="Simplified Arabic" w:hint="cs"/>
          <w:sz w:val="32"/>
          <w:szCs w:val="32"/>
          <w:rtl/>
        </w:rPr>
        <w:t>عام</w:t>
      </w:r>
      <w:r w:rsidRPr="003C716B">
        <w:rPr>
          <w:rFonts w:ascii="Simplified Arabic" w:hAnsi="Simplified Arabic" w:cs="Simplified Arabic"/>
          <w:sz w:val="32"/>
          <w:szCs w:val="32"/>
          <w:rtl/>
        </w:rPr>
        <w:t xml:space="preserve"> 1863م، أحد أبرز التطبيقات الممثلة للمنهج الاجتماعي في دراسة الأدب وتحليله</w:t>
      </w:r>
      <w:r w:rsidR="00177AF6">
        <w:rPr>
          <w:rFonts w:ascii="Simplified Arabic" w:hAnsi="Simplified Arabic" w:cs="Simplified Arabic" w:hint="cs"/>
          <w:sz w:val="32"/>
          <w:szCs w:val="32"/>
          <w:rtl/>
        </w:rPr>
        <w:t>.</w:t>
      </w:r>
    </w:p>
    <w:p w:rsidR="00177AF6" w:rsidRPr="003C716B" w:rsidRDefault="00177AF6" w:rsidP="00177AF6">
      <w:pPr>
        <w:shd w:val="clear" w:color="auto" w:fill="FFFFFF"/>
        <w:bidi/>
        <w:spacing w:after="0" w:line="240" w:lineRule="auto"/>
        <w:ind w:left="-483" w:firstLine="483"/>
        <w:rPr>
          <w:rFonts w:ascii="Simplified Arabic" w:hAnsi="Simplified Arabic" w:cs="Simplified Arabic"/>
          <w:sz w:val="32"/>
          <w:szCs w:val="32"/>
        </w:rPr>
      </w:pPr>
    </w:p>
    <w:p w:rsidR="00177AF6" w:rsidRPr="00CE2B8B" w:rsidRDefault="00CE2B8B" w:rsidP="00CE2B8B">
      <w:pPr>
        <w:autoSpaceDE w:val="0"/>
        <w:autoSpaceDN w:val="0"/>
        <w:bidi/>
        <w:adjustRightInd w:val="0"/>
        <w:spacing w:after="0" w:line="276" w:lineRule="auto"/>
        <w:ind w:left="-483" w:right="-567"/>
        <w:rPr>
          <w:rFonts w:ascii="Simplified Arabic" w:hAnsi="Simplified Arabic" w:cs="Simplified Arabic"/>
          <w:sz w:val="32"/>
          <w:szCs w:val="32"/>
        </w:rPr>
      </w:pPr>
      <w:r w:rsidRPr="00CE2B8B">
        <w:rPr>
          <w:rFonts w:ascii="Simplified Arabic" w:hAnsi="Simplified Arabic" w:cs="Simplified Arabic" w:hint="cs"/>
          <w:b/>
          <w:bCs/>
          <w:sz w:val="32"/>
          <w:szCs w:val="32"/>
          <w:rtl/>
        </w:rPr>
        <w:t>ال</w:t>
      </w:r>
      <w:r w:rsidR="00177AF6" w:rsidRPr="00CE2B8B">
        <w:rPr>
          <w:rFonts w:ascii="Simplified Arabic" w:hAnsi="Simplified Arabic" w:cs="Simplified Arabic"/>
          <w:b/>
          <w:bCs/>
          <w:sz w:val="32"/>
          <w:szCs w:val="32"/>
          <w:rtl/>
        </w:rPr>
        <w:t xml:space="preserve">منهج الاجتماعي في النقد الأوربي </w:t>
      </w:r>
      <w:proofErr w:type="gramStart"/>
      <w:r w:rsidR="00177AF6" w:rsidRPr="00CE2B8B">
        <w:rPr>
          <w:rFonts w:ascii="Simplified Arabic" w:hAnsi="Simplified Arabic" w:cs="Simplified Arabic"/>
          <w:b/>
          <w:bCs/>
          <w:sz w:val="32"/>
          <w:szCs w:val="32"/>
          <w:rtl/>
        </w:rPr>
        <w:t>الحديث</w:t>
      </w:r>
      <w:r w:rsidR="00177AF6" w:rsidRPr="00CE2B8B">
        <w:rPr>
          <w:rFonts w:ascii="Simplified Arabic" w:hAnsi="Simplified Arabic" w:cs="Simplified Arabic"/>
          <w:sz w:val="32"/>
          <w:szCs w:val="32"/>
          <w:rtl/>
        </w:rPr>
        <w:t> :</w:t>
      </w:r>
      <w:proofErr w:type="gramEnd"/>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كان للفكر المادي الماركسي أثر في تطور المنهج الاجتماعي، وإكسابه إطاراً منهجياً وشكلاً فكرياً ناضجاً، ومن المتقرر في الفلسفة الماركسية أن المجتمع يتكون من بنيتين: دنيا: يمثلها النتاج المادي المتجلي في البنية الاقتصادية، وعليا: تتمثل في النظم الثقافية والفكرية والسياسية المتولدة عن البنية الأساسية الأولى، وأن أي تغير في قوى الإنتاج المادية لابد أن يُحدث تغيراً في العلاقات والنظم الفكرية</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وقد عملت الماركسية مع الواقعية جنباً إلى جنب في تعميق الاتجاه الذي يدعو إلى التلازم بين التطور الاجتماعي والازدهار الأدبي؛ مما أسهم في ازدهار "علم الاجتماع" بتنوعاته </w:t>
      </w:r>
      <w:r w:rsidR="00CE2B8B" w:rsidRPr="00CE2B8B">
        <w:rPr>
          <w:rFonts w:ascii="Simplified Arabic" w:hAnsi="Simplified Arabic" w:cs="Simplified Arabic" w:hint="cs"/>
          <w:sz w:val="32"/>
          <w:szCs w:val="32"/>
          <w:rtl/>
        </w:rPr>
        <w:t>المختلفة، كان</w:t>
      </w:r>
      <w:r w:rsidRPr="00CE2B8B">
        <w:rPr>
          <w:rFonts w:ascii="Simplified Arabic" w:hAnsi="Simplified Arabic" w:cs="Simplified Arabic"/>
          <w:sz w:val="32"/>
          <w:szCs w:val="32"/>
          <w:rtl/>
        </w:rPr>
        <w:t xml:space="preserve"> من بينها علم نشأ قبل منتصف القرن العشرين أطلق عليه: علم "اجتماع الأدب" أو "</w:t>
      </w:r>
      <w:r w:rsidR="00CE2B8B" w:rsidRPr="00CE2B8B">
        <w:rPr>
          <w:rFonts w:ascii="Simplified Arabic" w:hAnsi="Simplified Arabic" w:cs="Simplified Arabic" w:hint="cs"/>
          <w:sz w:val="32"/>
          <w:szCs w:val="32"/>
          <w:rtl/>
        </w:rPr>
        <w:t>سيسيولوجيا</w:t>
      </w:r>
      <w:r w:rsidRPr="00CE2B8B">
        <w:rPr>
          <w:rFonts w:ascii="Simplified Arabic" w:hAnsi="Simplified Arabic" w:cs="Simplified Arabic"/>
          <w:sz w:val="32"/>
          <w:szCs w:val="32"/>
          <w:rtl/>
        </w:rPr>
        <w:t xml:space="preserve"> الأدب"، وقد تأثر هذا العلم بالتطورات التي حدثت في الأدب من جانب، وما حدث في مناهج علم الاجتماع من جانب آخر</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rPr>
          <w:rFonts w:ascii="Simplified Arabic" w:hAnsi="Simplified Arabic" w:cs="Simplified Arabic"/>
          <w:sz w:val="32"/>
          <w:szCs w:val="32"/>
        </w:rPr>
      </w:pPr>
      <w:r w:rsidRPr="00CE2B8B">
        <w:rPr>
          <w:rFonts w:ascii="Simplified Arabic" w:hAnsi="Simplified Arabic" w:cs="Simplified Arabic"/>
          <w:sz w:val="32"/>
          <w:szCs w:val="32"/>
          <w:rtl/>
        </w:rPr>
        <w:t>من رواد المنهج الاجتماعي:</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1.    </w:t>
      </w:r>
      <w:r w:rsidR="00CE2B8B" w:rsidRPr="00CE2B8B">
        <w:rPr>
          <w:rFonts w:ascii="Simplified Arabic" w:hAnsi="Simplified Arabic" w:cs="Simplified Arabic" w:hint="cs"/>
          <w:sz w:val="32"/>
          <w:szCs w:val="32"/>
          <w:rtl/>
        </w:rPr>
        <w:t>فريدريك هيجل 1770</w:t>
      </w:r>
      <w:r w:rsidRPr="00CE2B8B">
        <w:rPr>
          <w:rFonts w:ascii="Simplified Arabic" w:hAnsi="Simplified Arabic" w:cs="Simplified Arabic"/>
          <w:sz w:val="32"/>
          <w:szCs w:val="32"/>
          <w:rtl/>
        </w:rPr>
        <w:t xml:space="preserve"> – 1830</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2.    كارل ماركس 1818 – 1883</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3.    </w:t>
      </w:r>
      <w:r w:rsidR="00CE2B8B" w:rsidRPr="00CE2B8B">
        <w:rPr>
          <w:rFonts w:ascii="Simplified Arabic" w:hAnsi="Simplified Arabic" w:cs="Simplified Arabic" w:hint="cs"/>
          <w:sz w:val="32"/>
          <w:szCs w:val="32"/>
          <w:rtl/>
        </w:rPr>
        <w:t>فريدريك </w:t>
      </w:r>
      <w:proofErr w:type="spellStart"/>
      <w:r w:rsidR="00CE2B8B" w:rsidRPr="00CE2B8B">
        <w:rPr>
          <w:rFonts w:ascii="Simplified Arabic" w:hAnsi="Simplified Arabic" w:cs="Simplified Arabic" w:hint="cs"/>
          <w:sz w:val="32"/>
          <w:szCs w:val="32"/>
          <w:rtl/>
        </w:rPr>
        <w:t>انجلز</w:t>
      </w:r>
      <w:proofErr w:type="spellEnd"/>
      <w:r w:rsidRPr="00CE2B8B">
        <w:rPr>
          <w:rFonts w:ascii="Simplified Arabic" w:hAnsi="Simplified Arabic" w:cs="Simplified Arabic"/>
          <w:sz w:val="32"/>
          <w:szCs w:val="32"/>
          <w:rtl/>
        </w:rPr>
        <w:t xml:space="preserve"> 1820 – 1895</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4.    جورج </w:t>
      </w:r>
      <w:proofErr w:type="spellStart"/>
      <w:r w:rsidRPr="00CE2B8B">
        <w:rPr>
          <w:rFonts w:ascii="Simplified Arabic" w:hAnsi="Simplified Arabic" w:cs="Simplified Arabic"/>
          <w:sz w:val="32"/>
          <w:szCs w:val="32"/>
          <w:rtl/>
        </w:rPr>
        <w:t>لوكاتش</w:t>
      </w:r>
      <w:proofErr w:type="spellEnd"/>
      <w:r w:rsidRPr="00CE2B8B">
        <w:rPr>
          <w:rFonts w:ascii="Simplified Arabic" w:hAnsi="Simplified Arabic" w:cs="Simplified Arabic"/>
          <w:sz w:val="32"/>
          <w:szCs w:val="32"/>
          <w:rtl/>
        </w:rPr>
        <w:t xml:space="preserve"> 1885 </w:t>
      </w:r>
      <w:r w:rsidR="00CE2B8B" w:rsidRPr="00CE2B8B">
        <w:rPr>
          <w:rFonts w:ascii="Simplified Arabic" w:hAnsi="Simplified Arabic" w:cs="Simplified Arabic" w:hint="cs"/>
          <w:sz w:val="32"/>
          <w:szCs w:val="32"/>
          <w:rtl/>
        </w:rPr>
        <w:t>-1971</w:t>
      </w:r>
    </w:p>
    <w:p w:rsidR="00177AF6"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tl/>
        </w:rPr>
      </w:pPr>
    </w:p>
    <w:p w:rsidR="00CE2B8B" w:rsidRDefault="00CE2B8B" w:rsidP="00CE2B8B">
      <w:pPr>
        <w:autoSpaceDE w:val="0"/>
        <w:autoSpaceDN w:val="0"/>
        <w:bidi/>
        <w:adjustRightInd w:val="0"/>
        <w:spacing w:after="0" w:line="276" w:lineRule="auto"/>
        <w:ind w:left="-483" w:right="-567" w:firstLine="483"/>
        <w:rPr>
          <w:rFonts w:ascii="Simplified Arabic" w:hAnsi="Simplified Arabic" w:cs="Simplified Arabic"/>
          <w:sz w:val="32"/>
          <w:szCs w:val="32"/>
          <w:rtl/>
        </w:rPr>
      </w:pPr>
    </w:p>
    <w:p w:rsidR="00CE2B8B" w:rsidRPr="00CE2B8B" w:rsidRDefault="00CE2B8B" w:rsidP="00CE2B8B">
      <w:pPr>
        <w:autoSpaceDE w:val="0"/>
        <w:autoSpaceDN w:val="0"/>
        <w:bidi/>
        <w:adjustRightInd w:val="0"/>
        <w:spacing w:after="0" w:line="276" w:lineRule="auto"/>
        <w:ind w:left="-483" w:right="-567" w:firstLine="483"/>
        <w:rPr>
          <w:rFonts w:ascii="Simplified Arabic" w:hAnsi="Simplified Arabic" w:cs="Simplified Arabic"/>
          <w:sz w:val="32"/>
          <w:szCs w:val="32"/>
          <w:rtl/>
        </w:rPr>
      </w:pP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b/>
          <w:bCs/>
          <w:sz w:val="32"/>
          <w:szCs w:val="32"/>
          <w:u w:val="single"/>
        </w:rPr>
      </w:pPr>
      <w:r w:rsidRPr="00CE2B8B">
        <w:rPr>
          <w:rFonts w:ascii="Simplified Arabic" w:hAnsi="Simplified Arabic" w:cs="Simplified Arabic"/>
          <w:b/>
          <w:bCs/>
          <w:sz w:val="32"/>
          <w:szCs w:val="32"/>
          <w:u w:val="single"/>
          <w:rtl/>
        </w:rPr>
        <w:lastRenderedPageBreak/>
        <w:t xml:space="preserve">اتجاهات المنهج </w:t>
      </w:r>
      <w:r w:rsidR="00CE2B8B" w:rsidRPr="00CE2B8B">
        <w:rPr>
          <w:rFonts w:ascii="Simplified Arabic" w:hAnsi="Simplified Arabic" w:cs="Simplified Arabic" w:hint="cs"/>
          <w:b/>
          <w:bCs/>
          <w:sz w:val="32"/>
          <w:szCs w:val="32"/>
          <w:u w:val="single"/>
          <w:rtl/>
        </w:rPr>
        <w:t>الاجتماعي:</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u w:val="single"/>
        </w:rPr>
      </w:pPr>
      <w:r w:rsidRPr="00CE2B8B">
        <w:rPr>
          <w:rFonts w:ascii="Simplified Arabic" w:hAnsi="Simplified Arabic" w:cs="Simplified Arabic"/>
          <w:sz w:val="32"/>
          <w:szCs w:val="32"/>
          <w:u w:val="single"/>
          <w:rtl/>
        </w:rPr>
        <w:t>الاتجاه الأول: الكمي:</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وهو تيار تجريبي يستفيد من التقنيات التحليلية في مناهج الدراسات الاجتماعية، مثل الإحصائيات والبيانات وتفسير الظواهر انطلاقاً من قاعدة يبنيها الدارس طبقاً لمناهج دقيقة ثم يستخلص منها المعلومات التي تهمه</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ويرى هذا الاتجاه أن الأدب جزء من الحركة الثقافية، وأن تحليل الأدب يقتضي تجميع أكبر عدد من البيانات الدقيقة عن الأعمال الأدبية، وذلك لاستخلاص نتائج مهمة تكشف لنا عن حركة الأدب في المجتمع</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ومن رواد هذه المدرسة "</w:t>
      </w:r>
      <w:proofErr w:type="spellStart"/>
      <w:r w:rsidRPr="00CE2B8B">
        <w:rPr>
          <w:rFonts w:ascii="Simplified Arabic" w:hAnsi="Simplified Arabic" w:cs="Simplified Arabic"/>
          <w:sz w:val="32"/>
          <w:szCs w:val="32"/>
          <w:rtl/>
        </w:rPr>
        <w:t>سكاربيه</w:t>
      </w:r>
      <w:proofErr w:type="spellEnd"/>
      <w:r w:rsidRPr="00CE2B8B">
        <w:rPr>
          <w:rFonts w:ascii="Simplified Arabic" w:hAnsi="Simplified Arabic" w:cs="Simplified Arabic"/>
          <w:sz w:val="32"/>
          <w:szCs w:val="32"/>
          <w:rtl/>
        </w:rPr>
        <w:t xml:space="preserve">"، ناقد فرنسي له كتاب في علم اجتماع الأدب ويغفل هذا الاتجاه الطابع النوعي للأعمال الأدبية، فتُدرس الأعمال الأدبية على أساس أنها ظواهر اجتماعية تُستخدم فيها لغة </w:t>
      </w:r>
      <w:r w:rsidR="00CE2B8B" w:rsidRPr="00CE2B8B">
        <w:rPr>
          <w:rFonts w:ascii="Simplified Arabic" w:hAnsi="Simplified Arabic" w:cs="Simplified Arabic" w:hint="cs"/>
          <w:sz w:val="32"/>
          <w:szCs w:val="32"/>
          <w:rtl/>
        </w:rPr>
        <w:t>الأرقام،</w:t>
      </w:r>
      <w:r w:rsidRPr="00CE2B8B">
        <w:rPr>
          <w:rFonts w:ascii="Simplified Arabic" w:hAnsi="Simplified Arabic" w:cs="Simplified Arabic"/>
          <w:sz w:val="32"/>
          <w:szCs w:val="32"/>
          <w:rtl/>
        </w:rPr>
        <w:t xml:space="preserve"> فالذي يحكم هذه الدراسات الأساس الكمي لا الكيفي؛ فلا تملك هذه المدرسة رؤيةً جمالية في الحكم على العمل الأدبي</w:t>
      </w:r>
      <w:r w:rsidR="00CE2B8B">
        <w:rPr>
          <w:rFonts w:ascii="Simplified Arabic" w:hAnsi="Simplified Arabic" w:cs="Simplified Arabic" w:hint="cs"/>
          <w:sz w:val="32"/>
          <w:szCs w:val="32"/>
          <w:rtl/>
        </w:rPr>
        <w:t>.</w:t>
      </w:r>
    </w:p>
    <w:p w:rsidR="00177AF6" w:rsidRPr="00CE2B8B" w:rsidRDefault="00CE2B8B"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Pr>
          <w:rFonts w:ascii="Simplified Arabic" w:hAnsi="Simplified Arabic" w:cs="Simplified Arabic"/>
          <w:sz w:val="32"/>
          <w:szCs w:val="32"/>
          <w:rtl/>
        </w:rPr>
        <w:t>ولكن </w:t>
      </w:r>
      <w:r w:rsidR="00177AF6" w:rsidRPr="00CE2B8B">
        <w:rPr>
          <w:rFonts w:ascii="Simplified Arabic" w:hAnsi="Simplified Arabic" w:cs="Simplified Arabic"/>
          <w:sz w:val="32"/>
          <w:szCs w:val="32"/>
          <w:rtl/>
        </w:rPr>
        <w:t xml:space="preserve">ما لبث هذا المنظور أن تطور وارتبط بشكلٍ ما بالجانب الجمالي، نجد ذلك بارزاً في "حدود حرية التعبير" للباحثة السويدية "مارينا </w:t>
      </w:r>
      <w:proofErr w:type="spellStart"/>
      <w:r w:rsidR="00177AF6" w:rsidRPr="00CE2B8B">
        <w:rPr>
          <w:rFonts w:ascii="Simplified Arabic" w:hAnsi="Simplified Arabic" w:cs="Simplified Arabic"/>
          <w:sz w:val="32"/>
          <w:szCs w:val="32"/>
          <w:rtl/>
        </w:rPr>
        <w:t>ستاغ</w:t>
      </w:r>
      <w:proofErr w:type="spellEnd"/>
      <w:r w:rsidR="00177AF6" w:rsidRPr="00CE2B8B">
        <w:rPr>
          <w:rFonts w:ascii="Simplified Arabic" w:hAnsi="Simplified Arabic" w:cs="Simplified Arabic"/>
          <w:sz w:val="32"/>
          <w:szCs w:val="32"/>
          <w:rtl/>
        </w:rPr>
        <w:t>"، فقد وظفت هذه الدراسة التقنيات الإحصائية والتجريبية  في علم اجتماع الأدب بشكل مختلف عن السابق ... وهي تتخذ منظورها من منطلقات منهجية حيث ترى أن الإبداع القصصي هو أكثر أشكال الإبداع ارتباطاً بحركة المجتمع، وأنه غالباً ما يصطدم بالممنوعات الاجتماعية وهي الممنوعات السياسية، والدينية، والأخلاقية</w:t>
      </w:r>
      <w:r>
        <w:rPr>
          <w:rFonts w:ascii="Simplified Arabic" w:hAnsi="Simplified Arabic" w:cs="Simplified Arabic" w:hint="cs"/>
          <w:sz w:val="32"/>
          <w:szCs w:val="32"/>
          <w:rtl/>
        </w:rPr>
        <w:t>،</w:t>
      </w:r>
      <w:r w:rsidR="00177AF6" w:rsidRPr="00CE2B8B">
        <w:rPr>
          <w:rFonts w:ascii="Simplified Arabic" w:hAnsi="Simplified Arabic" w:cs="Simplified Arabic"/>
          <w:sz w:val="32"/>
          <w:szCs w:val="32"/>
          <w:rtl/>
        </w:rPr>
        <w:t> أما المنطلق الثاني المنهجي للدراسة فيتمثل في رؤية الكاتبة للحرية بأنها قرينة الإبداع، وأن مؤشر قمع الحرية هو أهم مؤشر لتدخل ال</w:t>
      </w:r>
      <w:r>
        <w:rPr>
          <w:rFonts w:ascii="Simplified Arabic" w:hAnsi="Simplified Arabic" w:cs="Simplified Arabic"/>
          <w:sz w:val="32"/>
          <w:szCs w:val="32"/>
          <w:rtl/>
        </w:rPr>
        <w:t>مجتمع في تكييف الإنتاج الأدبي.</w:t>
      </w:r>
      <w:r>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أما النقد الذي يوجه لهذا الاتجاه فبالإضافة إلى إغفاله للجانب النوعي للأعمال الأدبية ـ كما وضحنا سابقاً ـ فإنه يكتفي برصد الظواهر ولا يتعمق في إمكانية تفسيرها وربطها ببعضها، بل ويقيم التوازي بين ظواهر غير متجانسة أصلاً؛ لأن الأدب إنتاج تخيلي إبداعي يغاير نوعياً طبيعة الحياة الخارجية، وهذه نقطة ضعف جوهرية تعيب دراسات علم اجتماع الأدب وتجعل </w:t>
      </w:r>
      <w:r w:rsidRPr="00CE2B8B">
        <w:rPr>
          <w:rFonts w:ascii="Simplified Arabic" w:hAnsi="Simplified Arabic" w:cs="Simplified Arabic"/>
          <w:sz w:val="32"/>
          <w:szCs w:val="32"/>
          <w:rtl/>
        </w:rPr>
        <w:lastRenderedPageBreak/>
        <w:t>نتائج عملها مجرد إضافة لمجموعة من البيانات والمعلومات التي تخدم علم الاجتماع ودارسيه أكثر من نقاد الأدب والمتخصصين فيه</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rPr>
          <w:rFonts w:ascii="Simplified Arabic" w:hAnsi="Simplified Arabic" w:cs="Simplified Arabic"/>
          <w:sz w:val="32"/>
          <w:szCs w:val="32"/>
        </w:rPr>
      </w:pPr>
      <w:r w:rsidRPr="00CE2B8B">
        <w:rPr>
          <w:rFonts w:ascii="Simplified Arabic" w:hAnsi="Simplified Arabic" w:cs="Simplified Arabic"/>
          <w:sz w:val="32"/>
          <w:szCs w:val="32"/>
          <w:u w:val="single"/>
          <w:rtl/>
        </w:rPr>
        <w:t xml:space="preserve">الاتجاه الثاني: المدرسة </w:t>
      </w:r>
      <w:proofErr w:type="gramStart"/>
      <w:r w:rsidRPr="00CE2B8B">
        <w:rPr>
          <w:rFonts w:ascii="Simplified Arabic" w:hAnsi="Simplified Arabic" w:cs="Simplified Arabic"/>
          <w:sz w:val="32"/>
          <w:szCs w:val="32"/>
          <w:u w:val="single"/>
          <w:rtl/>
        </w:rPr>
        <w:t>الجدلية</w:t>
      </w:r>
      <w:r w:rsidRPr="00CE2B8B">
        <w:rPr>
          <w:rFonts w:ascii="Simplified Arabic" w:hAnsi="Simplified Arabic" w:cs="Simplified Arabic"/>
          <w:sz w:val="32"/>
          <w:szCs w:val="32"/>
          <w:rtl/>
        </w:rPr>
        <w:t> :</w:t>
      </w:r>
      <w:proofErr w:type="gramEnd"/>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نسبة إلى "هيجل" </w:t>
      </w:r>
      <w:r w:rsidR="00CE2B8B" w:rsidRPr="00CE2B8B">
        <w:rPr>
          <w:rFonts w:ascii="Simplified Arabic" w:hAnsi="Simplified Arabic" w:cs="Simplified Arabic" w:hint="cs"/>
          <w:sz w:val="32"/>
          <w:szCs w:val="32"/>
          <w:rtl/>
        </w:rPr>
        <w:t>(1770</w:t>
      </w:r>
      <w:r w:rsidRPr="00CE2B8B">
        <w:rPr>
          <w:rFonts w:ascii="Simplified Arabic" w:hAnsi="Simplified Arabic" w:cs="Simplified Arabic"/>
          <w:sz w:val="32"/>
          <w:szCs w:val="32"/>
          <w:rtl/>
        </w:rPr>
        <w:t xml:space="preserve"> – 1830</w:t>
      </w:r>
      <w:r w:rsidR="00CE2B8B" w:rsidRPr="00CE2B8B">
        <w:rPr>
          <w:rFonts w:ascii="Simplified Arabic" w:hAnsi="Simplified Arabic" w:cs="Simplified Arabic" w:hint="cs"/>
          <w:sz w:val="32"/>
          <w:szCs w:val="32"/>
          <w:rtl/>
        </w:rPr>
        <w:t>م) ثم</w:t>
      </w:r>
      <w:r w:rsidRPr="00CE2B8B">
        <w:rPr>
          <w:rFonts w:ascii="Simplified Arabic" w:hAnsi="Simplified Arabic" w:cs="Simplified Arabic"/>
          <w:sz w:val="32"/>
          <w:szCs w:val="32"/>
          <w:rtl/>
        </w:rPr>
        <w:t xml:space="preserve"> ماركس </w:t>
      </w:r>
      <w:r w:rsidR="00CE2B8B" w:rsidRPr="00CE2B8B">
        <w:rPr>
          <w:rFonts w:ascii="Simplified Arabic" w:hAnsi="Simplified Arabic" w:cs="Simplified Arabic" w:hint="cs"/>
          <w:sz w:val="32"/>
          <w:szCs w:val="32"/>
          <w:rtl/>
        </w:rPr>
        <w:t>(1818</w:t>
      </w:r>
      <w:r w:rsidRPr="00CE2B8B">
        <w:rPr>
          <w:rFonts w:ascii="Simplified Arabic" w:hAnsi="Simplified Arabic" w:cs="Simplified Arabic"/>
          <w:sz w:val="32"/>
          <w:szCs w:val="32"/>
          <w:rtl/>
        </w:rPr>
        <w:t xml:space="preserve"> – 1883 </w:t>
      </w:r>
      <w:r w:rsidR="00CE2B8B" w:rsidRPr="00CE2B8B">
        <w:rPr>
          <w:rFonts w:ascii="Simplified Arabic" w:hAnsi="Simplified Arabic" w:cs="Simplified Arabic" w:hint="cs"/>
          <w:sz w:val="32"/>
          <w:szCs w:val="32"/>
          <w:rtl/>
        </w:rPr>
        <w:t>م)</w:t>
      </w:r>
      <w:r w:rsidR="00CE2B8B">
        <w:rPr>
          <w:rFonts w:ascii="Simplified Arabic" w:hAnsi="Simplified Arabic" w:cs="Simplified Arabic"/>
          <w:sz w:val="32"/>
          <w:szCs w:val="32"/>
          <w:rtl/>
        </w:rPr>
        <w:t xml:space="preserve"> من بعده</w:t>
      </w:r>
      <w:r w:rsidR="00CE2B8B">
        <w:rPr>
          <w:rFonts w:ascii="Simplified Arabic" w:hAnsi="Simplified Arabic" w:cs="Simplified Arabic" w:hint="cs"/>
          <w:sz w:val="32"/>
          <w:szCs w:val="32"/>
          <w:rtl/>
        </w:rPr>
        <w:t xml:space="preserve">، </w:t>
      </w:r>
      <w:r w:rsidRPr="00CE2B8B">
        <w:rPr>
          <w:rFonts w:ascii="Simplified Arabic" w:hAnsi="Simplified Arabic" w:cs="Simplified Arabic"/>
          <w:sz w:val="32"/>
          <w:szCs w:val="32"/>
          <w:rtl/>
        </w:rPr>
        <w:t xml:space="preserve">ورأيهما في العلاقة بين البنى التحتية والبنى الفوقية في الإنتاج الأدبي والإنتاج </w:t>
      </w:r>
      <w:r w:rsidR="00CE2B8B" w:rsidRPr="00CE2B8B">
        <w:rPr>
          <w:rFonts w:ascii="Simplified Arabic" w:hAnsi="Simplified Arabic" w:cs="Simplified Arabic" w:hint="cs"/>
          <w:sz w:val="32"/>
          <w:szCs w:val="32"/>
          <w:rtl/>
        </w:rPr>
        <w:t>الثقافي وهذه</w:t>
      </w:r>
      <w:r w:rsidRPr="00CE2B8B">
        <w:rPr>
          <w:rFonts w:ascii="Simplified Arabic" w:hAnsi="Simplified Arabic" w:cs="Simplified Arabic"/>
          <w:sz w:val="32"/>
          <w:szCs w:val="32"/>
          <w:rtl/>
        </w:rPr>
        <w:t xml:space="preserve"> العلاقة متبادلة ومتفاعلة مما يجعلها علاقة جدلية</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وقد برز "جورج </w:t>
      </w:r>
      <w:proofErr w:type="spellStart"/>
      <w:r w:rsidRPr="00CE2B8B">
        <w:rPr>
          <w:rFonts w:ascii="Simplified Arabic" w:hAnsi="Simplified Arabic" w:cs="Simplified Arabic"/>
          <w:sz w:val="32"/>
          <w:szCs w:val="32"/>
          <w:rtl/>
        </w:rPr>
        <w:t>لوكاش</w:t>
      </w:r>
      <w:proofErr w:type="spellEnd"/>
      <w:r w:rsidRPr="00CE2B8B">
        <w:rPr>
          <w:rFonts w:ascii="Simplified Arabic" w:hAnsi="Simplified Arabic" w:cs="Simplified Arabic"/>
          <w:sz w:val="32"/>
          <w:szCs w:val="32"/>
          <w:rtl/>
        </w:rPr>
        <w:t xml:space="preserve">" كمنظِّر لهذا الاتجاه عندما درس وحلل العلاقة بين الأدب والمجتمع باعتباره انعكاساً وتمثيلاً للحياة، وقدَّم دراسات ربط فيها بين نشأة الجنس الأدبي وازدهاره، وبين طبيعة الحياة الاجتماعية والثقافية لمجتمع ما تسمى </w:t>
      </w:r>
      <w:proofErr w:type="gramStart"/>
      <w:r w:rsidRPr="00CE2B8B">
        <w:rPr>
          <w:rFonts w:ascii="Simplified Arabic" w:hAnsi="Simplified Arabic" w:cs="Simplified Arabic"/>
          <w:sz w:val="32"/>
          <w:szCs w:val="32"/>
          <w:rtl/>
        </w:rPr>
        <w:t>بـ"</w:t>
      </w:r>
      <w:proofErr w:type="gramEnd"/>
      <w:r w:rsidR="00CE2B8B" w:rsidRPr="00CE2B8B">
        <w:rPr>
          <w:rFonts w:ascii="Simplified Arabic" w:hAnsi="Simplified Arabic" w:cs="Simplified Arabic" w:hint="cs"/>
          <w:sz w:val="32"/>
          <w:szCs w:val="32"/>
          <w:rtl/>
        </w:rPr>
        <w:t>سيسيولوجيا</w:t>
      </w:r>
      <w:r w:rsidRPr="00CE2B8B">
        <w:rPr>
          <w:rFonts w:ascii="Simplified Arabic" w:hAnsi="Simplified Arabic" w:cs="Simplified Arabic"/>
          <w:sz w:val="32"/>
          <w:szCs w:val="32"/>
          <w:rtl/>
        </w:rPr>
        <w:t xml:space="preserve"> الأجناس الأدبية"، تناول فيها طبيعة ونشأة الرواية المقترنة بنشأة حركة الرأسمالية العالمية وصعود البرجوازية الغربية</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ثم جاء بعده "</w:t>
      </w:r>
      <w:proofErr w:type="spellStart"/>
      <w:r w:rsidRPr="00CE2B8B">
        <w:rPr>
          <w:rFonts w:ascii="Simplified Arabic" w:hAnsi="Simplified Arabic" w:cs="Simplified Arabic"/>
          <w:sz w:val="32"/>
          <w:szCs w:val="32"/>
          <w:rtl/>
        </w:rPr>
        <w:t>لوسيان</w:t>
      </w:r>
      <w:proofErr w:type="spellEnd"/>
      <w:r w:rsidRPr="00CE2B8B">
        <w:rPr>
          <w:rFonts w:ascii="Simplified Arabic" w:hAnsi="Simplified Arabic" w:cs="Simplified Arabic"/>
          <w:sz w:val="32"/>
          <w:szCs w:val="32"/>
          <w:rtl/>
        </w:rPr>
        <w:t xml:space="preserve"> </w:t>
      </w:r>
      <w:proofErr w:type="spellStart"/>
      <w:r w:rsidRPr="00CE2B8B">
        <w:rPr>
          <w:rFonts w:ascii="Simplified Arabic" w:hAnsi="Simplified Arabic" w:cs="Simplified Arabic"/>
          <w:sz w:val="32"/>
          <w:szCs w:val="32"/>
          <w:rtl/>
        </w:rPr>
        <w:t>جولدمان</w:t>
      </w:r>
      <w:proofErr w:type="spellEnd"/>
      <w:r w:rsidRPr="00CE2B8B">
        <w:rPr>
          <w:rFonts w:ascii="Simplified Arabic" w:hAnsi="Simplified Arabic" w:cs="Simplified Arabic"/>
          <w:sz w:val="32"/>
          <w:szCs w:val="32"/>
          <w:rtl/>
        </w:rPr>
        <w:t xml:space="preserve">" الذي ارتكز على مبادئ </w:t>
      </w:r>
      <w:proofErr w:type="spellStart"/>
      <w:r w:rsidRPr="00CE2B8B">
        <w:rPr>
          <w:rFonts w:ascii="Simplified Arabic" w:hAnsi="Simplified Arabic" w:cs="Simplified Arabic"/>
          <w:sz w:val="32"/>
          <w:szCs w:val="32"/>
          <w:rtl/>
        </w:rPr>
        <w:t>لوكاش</w:t>
      </w:r>
      <w:proofErr w:type="spellEnd"/>
      <w:r w:rsidRPr="00CE2B8B">
        <w:rPr>
          <w:rFonts w:ascii="Simplified Arabic" w:hAnsi="Simplified Arabic" w:cs="Simplified Arabic"/>
          <w:sz w:val="32"/>
          <w:szCs w:val="32"/>
          <w:rtl/>
        </w:rPr>
        <w:t xml:space="preserve"> وطوّرها حتى تبنى اتجاهاً يطلق عليه "علم اجتماع الإبداع الأدبي"، حاول فيه الاقتراب من الجانب الكيفي على عكس اتجاه "</w:t>
      </w:r>
      <w:proofErr w:type="spellStart"/>
      <w:r w:rsidRPr="00CE2B8B">
        <w:rPr>
          <w:rFonts w:ascii="Simplified Arabic" w:hAnsi="Simplified Arabic" w:cs="Simplified Arabic"/>
          <w:sz w:val="32"/>
          <w:szCs w:val="32"/>
          <w:rtl/>
        </w:rPr>
        <w:t>سكاربيه</w:t>
      </w:r>
      <w:proofErr w:type="spellEnd"/>
      <w:r w:rsidRPr="00CE2B8B">
        <w:rPr>
          <w:rFonts w:ascii="Simplified Arabic" w:hAnsi="Simplified Arabic" w:cs="Simplified Arabic"/>
          <w:sz w:val="32"/>
          <w:szCs w:val="32"/>
          <w:rtl/>
        </w:rPr>
        <w:t>" الكمي</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ثم حدث تطور في مناهج النقد الأدبي مما أدى إلى نشوء علم جديد هو "علم اجتماع النص"، يعتمد على اللغة باعتبارها الوسيط الفعلي بين الأدب والحياة، فهي مركز التحليل النقدي في الأعمال الأدبية، فاتخاذ اللغة منطقة للبحث النقدي في علم اجتماع النص الأدبي هو الوسيلة لتفادي الهوة النوعية بين الظواهر </w:t>
      </w:r>
      <w:r w:rsidR="00CE2B8B" w:rsidRPr="00CE2B8B">
        <w:rPr>
          <w:rFonts w:ascii="Simplified Arabic" w:hAnsi="Simplified Arabic" w:cs="Simplified Arabic" w:hint="cs"/>
          <w:sz w:val="32"/>
          <w:szCs w:val="32"/>
          <w:rtl/>
        </w:rPr>
        <w:t>المختلفة</w:t>
      </w:r>
      <w:r w:rsidR="00CE2B8B">
        <w:rPr>
          <w:rFonts w:ascii="Simplified Arabic" w:hAnsi="Simplified Arabic" w:cs="Simplified Arabic" w:hint="cs"/>
          <w:sz w:val="32"/>
          <w:szCs w:val="32"/>
          <w:rtl/>
        </w:rPr>
        <w:t>.</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tl/>
        </w:rPr>
      </w:pPr>
    </w:p>
    <w:p w:rsidR="00177AF6" w:rsidRPr="00CE2B8B" w:rsidRDefault="00177AF6" w:rsidP="00CE2B8B">
      <w:pPr>
        <w:autoSpaceDE w:val="0"/>
        <w:autoSpaceDN w:val="0"/>
        <w:bidi/>
        <w:adjustRightInd w:val="0"/>
        <w:spacing w:after="0" w:line="276" w:lineRule="auto"/>
        <w:ind w:left="-483" w:right="-567"/>
        <w:rPr>
          <w:rFonts w:ascii="Simplified Arabic" w:hAnsi="Simplified Arabic" w:cs="Simplified Arabic"/>
          <w:b/>
          <w:bCs/>
          <w:sz w:val="32"/>
          <w:szCs w:val="32"/>
          <w:u w:val="single"/>
        </w:rPr>
      </w:pPr>
      <w:r w:rsidRPr="00CE2B8B">
        <w:rPr>
          <w:rFonts w:ascii="Simplified Arabic" w:hAnsi="Simplified Arabic" w:cs="Simplified Arabic"/>
          <w:b/>
          <w:bCs/>
          <w:sz w:val="32"/>
          <w:szCs w:val="32"/>
          <w:u w:val="single"/>
          <w:rtl/>
        </w:rPr>
        <w:t xml:space="preserve">المنهج الاجتماعي في النقد </w:t>
      </w:r>
      <w:r w:rsidR="00A10E15" w:rsidRPr="00CE2B8B">
        <w:rPr>
          <w:rFonts w:ascii="Simplified Arabic" w:hAnsi="Simplified Arabic" w:cs="Simplified Arabic" w:hint="cs"/>
          <w:b/>
          <w:bCs/>
          <w:sz w:val="32"/>
          <w:szCs w:val="32"/>
          <w:u w:val="single"/>
          <w:rtl/>
        </w:rPr>
        <w:t>العربي:</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نجد في تراثنا النقدي القديم نقداً للمجتمع وسلوكياته ككتاب "البخلاء" للجاحظ، والحرص على الربط بين المعنى الشريف واللفظ الشريف الذي نجده عند بشر بن المعتمر، وبعض </w:t>
      </w:r>
      <w:r w:rsidRPr="00CE2B8B">
        <w:rPr>
          <w:rFonts w:ascii="Simplified Arabic" w:hAnsi="Simplified Arabic" w:cs="Simplified Arabic"/>
          <w:sz w:val="32"/>
          <w:szCs w:val="32"/>
          <w:rtl/>
        </w:rPr>
        <w:lastRenderedPageBreak/>
        <w:t>الملاحظات المنتشرة في كتب النقد القديم التي تحث على الربط بين المستوى التعبيري ومستوى المتلقين</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أما في النقد الحديث، فلم يكن لهذا المنهج رواد بارزون مقتنعون به، يربطون بين الإنتاج المادي والإنتاج الأدبي كما يوجد في روسيا، ولكننا نجد بعض الدعوات إلى الاهتمام بالاتجاه الاجتماعي في النقد الأدبي عند شبلي شميل، وسلامة موسى، وعمر فاخوري، وقد اقترب هذا المنهج من المدرسة الجدلية عند محمود أمين العالم، وعبد العظيم أنيس، ولويس عوض، حتى كان تجليه في النقد </w:t>
      </w:r>
      <w:proofErr w:type="spellStart"/>
      <w:r w:rsidR="00CE2B8B">
        <w:rPr>
          <w:rFonts w:ascii="Simplified Arabic" w:hAnsi="Simplified Arabic" w:cs="Simplified Arabic" w:hint="cs"/>
          <w:sz w:val="32"/>
          <w:szCs w:val="32"/>
          <w:rtl/>
        </w:rPr>
        <w:t>الأيدلوجي</w:t>
      </w:r>
      <w:proofErr w:type="spellEnd"/>
      <w:r w:rsidRPr="00CE2B8B">
        <w:rPr>
          <w:rFonts w:ascii="Simplified Arabic" w:hAnsi="Simplified Arabic" w:cs="Simplified Arabic"/>
          <w:sz w:val="32"/>
          <w:szCs w:val="32"/>
          <w:rtl/>
        </w:rPr>
        <w:t xml:space="preserve"> عند محمد مندور</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rPr>
          <w:rFonts w:ascii="Simplified Arabic" w:hAnsi="Simplified Arabic" w:cs="Simplified Arabic"/>
          <w:b/>
          <w:bCs/>
          <w:sz w:val="32"/>
          <w:szCs w:val="32"/>
          <w:u w:val="single"/>
        </w:rPr>
      </w:pPr>
      <w:r w:rsidRPr="00CE2B8B">
        <w:rPr>
          <w:rFonts w:ascii="Simplified Arabic" w:hAnsi="Simplified Arabic" w:cs="Simplified Arabic"/>
          <w:b/>
          <w:bCs/>
          <w:sz w:val="32"/>
          <w:szCs w:val="32"/>
          <w:u w:val="single"/>
          <w:rtl/>
        </w:rPr>
        <w:t xml:space="preserve">نقد المنهج </w:t>
      </w:r>
      <w:r w:rsidR="00CE2B8B" w:rsidRPr="00CE2B8B">
        <w:rPr>
          <w:rFonts w:ascii="Simplified Arabic" w:hAnsi="Simplified Arabic" w:cs="Simplified Arabic" w:hint="cs"/>
          <w:b/>
          <w:bCs/>
          <w:sz w:val="32"/>
          <w:szCs w:val="32"/>
          <w:u w:val="single"/>
          <w:rtl/>
        </w:rPr>
        <w:t>الاجتماعي:</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للمنهج الاجتماعي جوانب تقصير عديدة نحاول إيجازها في التالي:</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1.   إصرار أصحاب المنهج الاجتماعي على رؤية الأدب على أنه انعكاس للظروف الاجتماعية للأديب</w:t>
      </w:r>
      <w:r w:rsidR="00CE2B8B">
        <w:rPr>
          <w:rFonts w:ascii="Simplified Arabic" w:hAnsi="Simplified Arabic" w:cs="Simplified Arabic"/>
          <w:sz w:val="32"/>
          <w:szCs w:val="32"/>
          <w:rtl/>
        </w:rPr>
        <w:t> </w:t>
      </w:r>
      <w:r w:rsidRPr="00CE2B8B">
        <w:rPr>
          <w:rFonts w:ascii="Simplified Arabic" w:hAnsi="Simplified Arabic" w:cs="Simplified Arabic"/>
          <w:sz w:val="32"/>
          <w:szCs w:val="32"/>
          <w:rtl/>
        </w:rPr>
        <w:t>وهذا الرأي صحيح إلى حدٍّ ما، فليس الأديب شيئاً منعزلاً عن مجتمعه، لكنه أيضاً يحتاج لأن يعبر عن أشياء أخرى مختلفة غير هموم مجتمعه.</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2.   سيطرت التوجهات المادية على كل شيء في هذا المنهج، فالبنية الدنيا المادية ـ في نظر الاتجاه الماركسي ـ تتحكم في البنية العليا التي يعتبر الأدب جزء منها، فتزول حرية الأديب لأنها مبنية على سيطرة المادة، ومن جانب آخر يغفل هذا المنهج جانب الغيبيات وأثرها الفاعل في توجيه الأدباء من خلال الخلوص لله سبحانه واستحضار خشيته في القول والفعل، وهو يتصل بالمرجعية الدينية كجزء من الحكم النقدي.</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3.   يهتم هذا المنهج بالأعمال النثرية كالقصص والمسرحيات، ويركز النقاد على شخصية البطل، وإظهار تفوقها على الواقع مما يؤدي إلى التزييف نتيجة الإفراط في التفاؤل، فتصوير البطل يجب أن يكون من خلال الواقع وتمثل الجوهر الحقيقي لواقع الحياة.</w:t>
      </w:r>
    </w:p>
    <w:p w:rsidR="00177AF6"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tl/>
        </w:rPr>
      </w:pPr>
      <w:r w:rsidRPr="00CE2B8B">
        <w:rPr>
          <w:rFonts w:ascii="Simplified Arabic" w:hAnsi="Simplified Arabic" w:cs="Simplified Arabic"/>
          <w:sz w:val="32"/>
          <w:szCs w:val="32"/>
          <w:rtl/>
        </w:rPr>
        <w:t>4.    يغلب على أصحاب هذا الاتجاه إفراطهم في الاهتمام بمضمون العمل الأدبي على حساب الشكل، فجاء "علم اجتماع النص" كتعويض لهذا النقص حيث يهتم باللغة باعتبارها الوسيط بين الحياة والأدب، وهي أداة فهم المبدع وإبداعه.</w:t>
      </w:r>
    </w:p>
    <w:p w:rsidR="00A10E15" w:rsidRPr="00A10E15" w:rsidRDefault="00A10E15" w:rsidP="00A10E15">
      <w:pPr>
        <w:autoSpaceDE w:val="0"/>
        <w:autoSpaceDN w:val="0"/>
        <w:bidi/>
        <w:adjustRightInd w:val="0"/>
        <w:spacing w:after="0" w:line="276" w:lineRule="auto"/>
        <w:ind w:left="-483" w:right="-567"/>
        <w:rPr>
          <w:rFonts w:ascii="Simplified Arabic" w:hAnsi="Simplified Arabic" w:cs="Simplified Arabic"/>
          <w:b/>
          <w:bCs/>
          <w:sz w:val="36"/>
          <w:szCs w:val="36"/>
          <w:rtl/>
        </w:rPr>
      </w:pPr>
      <w:r w:rsidRPr="00A10E15">
        <w:rPr>
          <w:rFonts w:ascii="Simplified Arabic" w:hAnsi="Simplified Arabic" w:cs="Simplified Arabic"/>
          <w:b/>
          <w:bCs/>
          <w:sz w:val="36"/>
          <w:szCs w:val="36"/>
          <w:rtl/>
        </w:rPr>
        <w:lastRenderedPageBreak/>
        <w:t>خصائص المنهج الاجتماعي</w:t>
      </w:r>
      <w:r w:rsidRPr="00A10E15">
        <w:rPr>
          <w:rFonts w:ascii="Simplified Arabic" w:hAnsi="Simplified Arabic" w:cs="Simplified Arabic" w:hint="cs"/>
          <w:b/>
          <w:bCs/>
          <w:sz w:val="36"/>
          <w:szCs w:val="36"/>
          <w:rtl/>
        </w:rPr>
        <w:t>.</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لا </w:t>
      </w:r>
      <w:r>
        <w:rPr>
          <w:rFonts w:ascii="Simplified Arabic" w:hAnsi="Simplified Arabic" w:cs="Simplified Arabic" w:hint="cs"/>
          <w:sz w:val="32"/>
          <w:szCs w:val="32"/>
          <w:rtl/>
        </w:rPr>
        <w:t>ي</w:t>
      </w:r>
      <w:r w:rsidRPr="00A10E15">
        <w:rPr>
          <w:rFonts w:ascii="Simplified Arabic" w:hAnsi="Simplified Arabic" w:cs="Simplified Arabic" w:hint="cs"/>
          <w:sz w:val="32"/>
          <w:szCs w:val="32"/>
          <w:rtl/>
        </w:rPr>
        <w:t>علمنا</w:t>
      </w:r>
      <w:r w:rsidRPr="00A10E15">
        <w:rPr>
          <w:rFonts w:ascii="Simplified Arabic" w:hAnsi="Simplified Arabic" w:cs="Simplified Arabic"/>
          <w:sz w:val="32"/>
          <w:szCs w:val="32"/>
          <w:rtl/>
        </w:rPr>
        <w:t xml:space="preserve"> النقد الاجتماعي قراءة النصوص فقط بل یعیننا ویفتح أعیننا على قراءة حیاتنا وعلاقاتنا بالعالم من حولنا</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لم یعد في خضم هذا المنهج المعنى هو الموجود فقط أو المحصور في النصوص وإنما جعل مكانا للقارئ من خلال إبراز ذاته </w:t>
      </w:r>
      <w:r w:rsidRPr="00A10E15">
        <w:rPr>
          <w:rFonts w:ascii="Simplified Arabic" w:hAnsi="Simplified Arabic" w:cs="Simplified Arabic" w:hint="cs"/>
          <w:sz w:val="32"/>
          <w:szCs w:val="32"/>
          <w:rtl/>
        </w:rPr>
        <w:t>الإجتماعية</w:t>
      </w:r>
      <w:r w:rsidRPr="00A10E15">
        <w:rPr>
          <w:rFonts w:ascii="Simplified Arabic" w:hAnsi="Simplified Arabic" w:cs="Simplified Arabic"/>
          <w:sz w:val="32"/>
          <w:szCs w:val="32"/>
        </w:rPr>
        <w:t>.</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هو منهج حمى النص من التلاشي والتحول إلى مجرد إضافة لسلطة </w:t>
      </w:r>
      <w:r w:rsidRPr="00A10E15">
        <w:rPr>
          <w:rFonts w:ascii="Simplified Arabic" w:hAnsi="Simplified Arabic" w:cs="Simplified Arabic" w:hint="cs"/>
          <w:sz w:val="32"/>
          <w:szCs w:val="32"/>
          <w:rtl/>
        </w:rPr>
        <w:t>معرفية</w:t>
      </w:r>
      <w:r w:rsidRPr="00A10E15">
        <w:rPr>
          <w:rFonts w:ascii="Simplified Arabic" w:hAnsi="Simplified Arabic" w:cs="Simplified Arabic"/>
          <w:sz w:val="32"/>
          <w:szCs w:val="32"/>
          <w:rtl/>
        </w:rPr>
        <w:t xml:space="preserve"> أخرى</w:t>
      </w:r>
      <w:r w:rsidRPr="00A10E15">
        <w:rPr>
          <w:rFonts w:ascii="Simplified Arabic" w:hAnsi="Simplified Arabic" w:cs="Simplified Arabic" w:hint="cs"/>
          <w:sz w:val="32"/>
          <w:szCs w:val="32"/>
          <w:rtl/>
        </w:rPr>
        <w:t>.</w:t>
      </w:r>
    </w:p>
    <w:p w:rsid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القراءة </w:t>
      </w:r>
      <w:r w:rsidRPr="00A10E15">
        <w:rPr>
          <w:rFonts w:ascii="Simplified Arabic" w:hAnsi="Simplified Arabic" w:cs="Simplified Arabic" w:hint="cs"/>
          <w:sz w:val="32"/>
          <w:szCs w:val="32"/>
          <w:rtl/>
        </w:rPr>
        <w:t>النقدية</w:t>
      </w:r>
      <w:r w:rsidRPr="00A10E15">
        <w:rPr>
          <w:rFonts w:ascii="Simplified Arabic" w:hAnsi="Simplified Arabic" w:cs="Simplified Arabic"/>
          <w:sz w:val="32"/>
          <w:szCs w:val="32"/>
          <w:rtl/>
        </w:rPr>
        <w:t xml:space="preserve"> </w:t>
      </w:r>
      <w:r w:rsidRPr="00A10E15">
        <w:rPr>
          <w:rFonts w:ascii="Simplified Arabic" w:hAnsi="Simplified Arabic" w:cs="Simplified Arabic" w:hint="cs"/>
          <w:sz w:val="32"/>
          <w:szCs w:val="32"/>
          <w:rtl/>
        </w:rPr>
        <w:t>الإجتماعية</w:t>
      </w:r>
      <w:r w:rsidRPr="00A10E15">
        <w:rPr>
          <w:rFonts w:ascii="Simplified Arabic" w:hAnsi="Simplified Arabic" w:cs="Simplified Arabic"/>
          <w:sz w:val="32"/>
          <w:szCs w:val="32"/>
          <w:rtl/>
        </w:rPr>
        <w:t xml:space="preserve"> قراءة </w:t>
      </w:r>
      <w:r w:rsidRPr="00A10E15">
        <w:rPr>
          <w:rFonts w:ascii="Simplified Arabic" w:hAnsi="Simplified Arabic" w:cs="Simplified Arabic" w:hint="cs"/>
          <w:sz w:val="32"/>
          <w:szCs w:val="32"/>
          <w:rtl/>
        </w:rPr>
        <w:t>للمسيرة</w:t>
      </w:r>
      <w:r w:rsidRPr="00A10E15">
        <w:rPr>
          <w:rFonts w:ascii="Simplified Arabic" w:hAnsi="Simplified Arabic" w:cs="Simplified Arabic"/>
          <w:sz w:val="32"/>
          <w:szCs w:val="32"/>
          <w:rtl/>
        </w:rPr>
        <w:t xml:space="preserve"> والتقدم بوصفهما حاملي التغییرات </w:t>
      </w:r>
      <w:r w:rsidRPr="00A10E15">
        <w:rPr>
          <w:rFonts w:ascii="Simplified Arabic" w:hAnsi="Simplified Arabic" w:cs="Simplified Arabic" w:hint="cs"/>
          <w:sz w:val="32"/>
          <w:szCs w:val="32"/>
          <w:rtl/>
        </w:rPr>
        <w:t>الإيجابية</w:t>
      </w:r>
      <w:r w:rsidRPr="00A10E15">
        <w:rPr>
          <w:rFonts w:ascii="Simplified Arabic" w:hAnsi="Simplified Arabic" w:cs="Simplified Arabic"/>
          <w:sz w:val="32"/>
          <w:szCs w:val="32"/>
          <w:rtl/>
        </w:rPr>
        <w:t xml:space="preserve"> (فالثورة </w:t>
      </w:r>
      <w:r w:rsidRPr="00A10E15">
        <w:rPr>
          <w:rFonts w:ascii="Simplified Arabic" w:hAnsi="Simplified Arabic" w:cs="Simplified Arabic" w:hint="cs"/>
          <w:sz w:val="32"/>
          <w:szCs w:val="32"/>
          <w:rtl/>
        </w:rPr>
        <w:t>الفرنسية</w:t>
      </w:r>
      <w:r w:rsidRPr="00A10E15">
        <w:rPr>
          <w:rFonts w:ascii="Simplified Arabic" w:hAnsi="Simplified Arabic" w:cs="Simplified Arabic"/>
          <w:sz w:val="32"/>
          <w:szCs w:val="32"/>
          <w:rtl/>
        </w:rPr>
        <w:t xml:space="preserve"> مثلا مازالت نتائجها مستمرة إلى یومنا</w:t>
      </w:r>
      <w:r w:rsidRPr="00A10E15">
        <w:rPr>
          <w:rFonts w:ascii="Simplified Arabic" w:hAnsi="Simplified Arabic" w:cs="Simplified Arabic" w:hint="cs"/>
          <w:sz w:val="32"/>
          <w:szCs w:val="32"/>
          <w:rtl/>
        </w:rPr>
        <w:t>).</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hint="cs"/>
          <w:sz w:val="32"/>
          <w:szCs w:val="32"/>
          <w:rtl/>
        </w:rPr>
        <w:t>وظيفة</w:t>
      </w:r>
      <w:r w:rsidRPr="00A10E15">
        <w:rPr>
          <w:rFonts w:ascii="Simplified Arabic" w:hAnsi="Simplified Arabic" w:cs="Simplified Arabic"/>
          <w:sz w:val="32"/>
          <w:szCs w:val="32"/>
          <w:rtl/>
        </w:rPr>
        <w:t xml:space="preserve"> الكتابة الكشف </w:t>
      </w:r>
      <w:r w:rsidRPr="00A10E15">
        <w:rPr>
          <w:rFonts w:ascii="Simplified Arabic" w:hAnsi="Simplified Arabic" w:cs="Simplified Arabic" w:hint="cs"/>
          <w:sz w:val="32"/>
          <w:szCs w:val="32"/>
          <w:rtl/>
        </w:rPr>
        <w:t>والتعبير</w:t>
      </w:r>
      <w:r w:rsidRPr="00A10E15">
        <w:rPr>
          <w:rFonts w:ascii="Simplified Arabic" w:hAnsi="Simplified Arabic" w:cs="Simplified Arabic"/>
          <w:sz w:val="32"/>
          <w:szCs w:val="32"/>
          <w:rtl/>
        </w:rPr>
        <w:t xml:space="preserve"> عن التاریخانیة </w:t>
      </w:r>
      <w:r w:rsidRPr="00A10E15">
        <w:rPr>
          <w:rFonts w:ascii="Simplified Arabic" w:hAnsi="Simplified Arabic" w:cs="Simplified Arabic" w:hint="cs"/>
          <w:sz w:val="32"/>
          <w:szCs w:val="32"/>
          <w:rtl/>
        </w:rPr>
        <w:t>الإجتماعية</w:t>
      </w:r>
      <w:r w:rsidRPr="00A10E15">
        <w:rPr>
          <w:rFonts w:ascii="Simplified Arabic" w:hAnsi="Simplified Arabic" w:cs="Simplified Arabic"/>
          <w:sz w:val="32"/>
          <w:szCs w:val="32"/>
          <w:rtl/>
        </w:rPr>
        <w:t xml:space="preserve"> باعتبارها حقل المسائل المتكررة</w:t>
      </w:r>
      <w:r w:rsidRPr="00A10E15">
        <w:rPr>
          <w:rFonts w:ascii="Simplified Arabic" w:hAnsi="Simplified Arabic" w:cs="Simplified Arabic"/>
          <w:sz w:val="32"/>
          <w:szCs w:val="32"/>
        </w:rPr>
        <w:t xml:space="preserve"> </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تعد القراءة </w:t>
      </w:r>
      <w:r w:rsidRPr="00A10E15">
        <w:rPr>
          <w:rFonts w:ascii="Simplified Arabic" w:hAnsi="Simplified Arabic" w:cs="Simplified Arabic" w:hint="cs"/>
          <w:sz w:val="32"/>
          <w:szCs w:val="32"/>
          <w:rtl/>
        </w:rPr>
        <w:t>النقدية</w:t>
      </w:r>
      <w:r w:rsidRPr="00A10E15">
        <w:rPr>
          <w:rFonts w:ascii="Simplified Arabic" w:hAnsi="Simplified Arabic" w:cs="Simplified Arabic"/>
          <w:sz w:val="32"/>
          <w:szCs w:val="32"/>
          <w:rtl/>
        </w:rPr>
        <w:t xml:space="preserve"> </w:t>
      </w:r>
      <w:r w:rsidRPr="00A10E15">
        <w:rPr>
          <w:rFonts w:ascii="Simplified Arabic" w:hAnsi="Simplified Arabic" w:cs="Simplified Arabic" w:hint="cs"/>
          <w:sz w:val="32"/>
          <w:szCs w:val="32"/>
          <w:rtl/>
        </w:rPr>
        <w:t>الإجتماعية</w:t>
      </w:r>
      <w:r w:rsidRPr="00A10E15">
        <w:rPr>
          <w:rFonts w:ascii="Simplified Arabic" w:hAnsi="Simplified Arabic" w:cs="Simplified Arabic"/>
          <w:sz w:val="32"/>
          <w:szCs w:val="32"/>
          <w:rtl/>
        </w:rPr>
        <w:t xml:space="preserve"> ابتكارا وبحثا وتأویلا لأنها تشكل </w:t>
      </w:r>
      <w:r w:rsidRPr="00A10E15">
        <w:rPr>
          <w:rFonts w:ascii="Simplified Arabic" w:hAnsi="Simplified Arabic" w:cs="Simplified Arabic" w:hint="cs"/>
          <w:sz w:val="32"/>
          <w:szCs w:val="32"/>
          <w:rtl/>
        </w:rPr>
        <w:t>تركيبا</w:t>
      </w:r>
      <w:r w:rsidRPr="00A10E15">
        <w:rPr>
          <w:rFonts w:ascii="Simplified Arabic" w:hAnsi="Simplified Arabic" w:cs="Simplified Arabic"/>
          <w:sz w:val="32"/>
          <w:szCs w:val="32"/>
          <w:rtl/>
        </w:rPr>
        <w:t xml:space="preserve"> </w:t>
      </w:r>
      <w:r w:rsidRPr="00A10E15">
        <w:rPr>
          <w:rFonts w:ascii="Simplified Arabic" w:hAnsi="Simplified Arabic" w:cs="Simplified Arabic" w:hint="cs"/>
          <w:sz w:val="32"/>
          <w:szCs w:val="32"/>
          <w:rtl/>
        </w:rPr>
        <w:t>جديدا</w:t>
      </w:r>
      <w:r w:rsidRPr="00A10E15">
        <w:rPr>
          <w:rFonts w:ascii="Simplified Arabic" w:hAnsi="Simplified Arabic" w:cs="Simplified Arabic"/>
          <w:sz w:val="32"/>
          <w:szCs w:val="32"/>
          <w:rtl/>
        </w:rPr>
        <w:t xml:space="preserve"> بین البنى </w:t>
      </w:r>
      <w:r w:rsidRPr="00A10E15">
        <w:rPr>
          <w:rFonts w:ascii="Simplified Arabic" w:hAnsi="Simplified Arabic" w:cs="Simplified Arabic" w:hint="cs"/>
          <w:sz w:val="32"/>
          <w:szCs w:val="32"/>
          <w:rtl/>
        </w:rPr>
        <w:t>التحتية</w:t>
      </w:r>
      <w:r w:rsidRPr="00A10E15">
        <w:rPr>
          <w:rFonts w:ascii="Simplified Arabic" w:hAnsi="Simplified Arabic" w:cs="Simplified Arabic"/>
          <w:sz w:val="32"/>
          <w:szCs w:val="32"/>
          <w:rtl/>
        </w:rPr>
        <w:t xml:space="preserve"> </w:t>
      </w:r>
      <w:r w:rsidRPr="00A10E15">
        <w:rPr>
          <w:rFonts w:ascii="Simplified Arabic" w:hAnsi="Simplified Arabic" w:cs="Simplified Arabic" w:hint="cs"/>
          <w:sz w:val="32"/>
          <w:szCs w:val="32"/>
          <w:rtl/>
        </w:rPr>
        <w:t>والفوقية</w:t>
      </w:r>
      <w:r w:rsidRPr="00A10E15">
        <w:rPr>
          <w:rFonts w:ascii="Simplified Arabic" w:hAnsi="Simplified Arabic" w:cs="Simplified Arabic"/>
          <w:sz w:val="32"/>
          <w:szCs w:val="32"/>
          <w:rtl/>
        </w:rPr>
        <w:t xml:space="preserve"> وبین الفرد والعالم وبین الأشیاء المتوارثة </w:t>
      </w:r>
      <w:r w:rsidRPr="00A10E15">
        <w:rPr>
          <w:rFonts w:ascii="Simplified Arabic" w:hAnsi="Simplified Arabic" w:cs="Simplified Arabic" w:hint="cs"/>
          <w:sz w:val="32"/>
          <w:szCs w:val="32"/>
          <w:rtl/>
        </w:rPr>
        <w:t>والمبتكرة</w:t>
      </w:r>
      <w:r>
        <w:rPr>
          <w:rFonts w:ascii="Simplified Arabic" w:hAnsi="Simplified Arabic" w:cs="Simplified Arabic" w:hint="cs"/>
          <w:sz w:val="32"/>
          <w:szCs w:val="32"/>
          <w:rtl/>
        </w:rPr>
        <w:t>.</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tl/>
        </w:rPr>
      </w:pPr>
      <w:r w:rsidRPr="00A10E15">
        <w:rPr>
          <w:rFonts w:ascii="Simplified Arabic" w:hAnsi="Simplified Arabic" w:cs="Simplified Arabic"/>
          <w:sz w:val="32"/>
          <w:szCs w:val="32"/>
          <w:rtl/>
        </w:rPr>
        <w:t>إنها نقد ودعوة في آن واحد</w:t>
      </w:r>
      <w:r w:rsidRPr="00A10E15">
        <w:rPr>
          <w:rFonts w:ascii="Simplified Arabic" w:hAnsi="Simplified Arabic" w:cs="Simplified Arabic" w:hint="cs"/>
          <w:sz w:val="32"/>
          <w:szCs w:val="32"/>
          <w:rtl/>
        </w:rPr>
        <w:t>.</w:t>
      </w:r>
    </w:p>
    <w:p w:rsidR="00A10E15" w:rsidRPr="00CE2B8B" w:rsidRDefault="00A10E15" w:rsidP="00A10E15">
      <w:pPr>
        <w:autoSpaceDE w:val="0"/>
        <w:autoSpaceDN w:val="0"/>
        <w:bidi/>
        <w:adjustRightInd w:val="0"/>
        <w:spacing w:after="0" w:line="276" w:lineRule="auto"/>
        <w:ind w:left="-483" w:right="-567" w:firstLine="483"/>
        <w:rPr>
          <w:rFonts w:ascii="Simplified Arabic" w:hAnsi="Simplified Arabic" w:cs="Simplified Arabic"/>
          <w:sz w:val="32"/>
          <w:szCs w:val="32"/>
        </w:rPr>
      </w:pPr>
    </w:p>
    <w:sectPr w:rsidR="00A10E15" w:rsidRPr="00CE2B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Transparent">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42B65"/>
    <w:multiLevelType w:val="hybridMultilevel"/>
    <w:tmpl w:val="AFA032E2"/>
    <w:lvl w:ilvl="0" w:tplc="F070A9F6">
      <w:numFmt w:val="bullet"/>
      <w:lvlText w:val=""/>
      <w:lvlJc w:val="left"/>
      <w:pPr>
        <w:ind w:left="-123" w:hanging="360"/>
      </w:pPr>
      <w:rPr>
        <w:rFonts w:ascii="Symbol" w:eastAsiaTheme="minorHAnsi" w:hAnsi="Symbol" w:cs="Simplified Arabic" w:hint="default"/>
      </w:rPr>
    </w:lvl>
    <w:lvl w:ilvl="1" w:tplc="040C0003" w:tentative="1">
      <w:start w:val="1"/>
      <w:numFmt w:val="bullet"/>
      <w:lvlText w:val="o"/>
      <w:lvlJc w:val="left"/>
      <w:pPr>
        <w:ind w:left="597" w:hanging="360"/>
      </w:pPr>
      <w:rPr>
        <w:rFonts w:ascii="Courier New" w:hAnsi="Courier New" w:cs="Courier New" w:hint="default"/>
      </w:rPr>
    </w:lvl>
    <w:lvl w:ilvl="2" w:tplc="040C0005" w:tentative="1">
      <w:start w:val="1"/>
      <w:numFmt w:val="bullet"/>
      <w:lvlText w:val=""/>
      <w:lvlJc w:val="left"/>
      <w:pPr>
        <w:ind w:left="1317" w:hanging="360"/>
      </w:pPr>
      <w:rPr>
        <w:rFonts w:ascii="Wingdings" w:hAnsi="Wingdings" w:hint="default"/>
      </w:rPr>
    </w:lvl>
    <w:lvl w:ilvl="3" w:tplc="040C0001" w:tentative="1">
      <w:start w:val="1"/>
      <w:numFmt w:val="bullet"/>
      <w:lvlText w:val=""/>
      <w:lvlJc w:val="left"/>
      <w:pPr>
        <w:ind w:left="2037" w:hanging="360"/>
      </w:pPr>
      <w:rPr>
        <w:rFonts w:ascii="Symbol" w:hAnsi="Symbol" w:hint="default"/>
      </w:rPr>
    </w:lvl>
    <w:lvl w:ilvl="4" w:tplc="040C0003" w:tentative="1">
      <w:start w:val="1"/>
      <w:numFmt w:val="bullet"/>
      <w:lvlText w:val="o"/>
      <w:lvlJc w:val="left"/>
      <w:pPr>
        <w:ind w:left="2757" w:hanging="360"/>
      </w:pPr>
      <w:rPr>
        <w:rFonts w:ascii="Courier New" w:hAnsi="Courier New" w:cs="Courier New" w:hint="default"/>
      </w:rPr>
    </w:lvl>
    <w:lvl w:ilvl="5" w:tplc="040C0005" w:tentative="1">
      <w:start w:val="1"/>
      <w:numFmt w:val="bullet"/>
      <w:lvlText w:val=""/>
      <w:lvlJc w:val="left"/>
      <w:pPr>
        <w:ind w:left="3477" w:hanging="360"/>
      </w:pPr>
      <w:rPr>
        <w:rFonts w:ascii="Wingdings" w:hAnsi="Wingdings" w:hint="default"/>
      </w:rPr>
    </w:lvl>
    <w:lvl w:ilvl="6" w:tplc="040C0001" w:tentative="1">
      <w:start w:val="1"/>
      <w:numFmt w:val="bullet"/>
      <w:lvlText w:val=""/>
      <w:lvlJc w:val="left"/>
      <w:pPr>
        <w:ind w:left="4197" w:hanging="360"/>
      </w:pPr>
      <w:rPr>
        <w:rFonts w:ascii="Symbol" w:hAnsi="Symbol" w:hint="default"/>
      </w:rPr>
    </w:lvl>
    <w:lvl w:ilvl="7" w:tplc="040C0003" w:tentative="1">
      <w:start w:val="1"/>
      <w:numFmt w:val="bullet"/>
      <w:lvlText w:val="o"/>
      <w:lvlJc w:val="left"/>
      <w:pPr>
        <w:ind w:left="4917" w:hanging="360"/>
      </w:pPr>
      <w:rPr>
        <w:rFonts w:ascii="Courier New" w:hAnsi="Courier New" w:cs="Courier New" w:hint="default"/>
      </w:rPr>
    </w:lvl>
    <w:lvl w:ilvl="8" w:tplc="040C0005" w:tentative="1">
      <w:start w:val="1"/>
      <w:numFmt w:val="bullet"/>
      <w:lvlText w:val=""/>
      <w:lvlJc w:val="left"/>
      <w:pPr>
        <w:ind w:left="5637" w:hanging="360"/>
      </w:pPr>
      <w:rPr>
        <w:rFonts w:ascii="Wingdings" w:hAnsi="Wingdings" w:hint="default"/>
      </w:rPr>
    </w:lvl>
  </w:abstractNum>
  <w:abstractNum w:abstractNumId="1">
    <w:nsid w:val="30E57110"/>
    <w:multiLevelType w:val="hybridMultilevel"/>
    <w:tmpl w:val="6116EC46"/>
    <w:lvl w:ilvl="0" w:tplc="3D344408">
      <w:start w:val="1"/>
      <w:numFmt w:val="decimal"/>
      <w:lvlText w:val="%1-"/>
      <w:lvlJc w:val="left"/>
      <w:pPr>
        <w:ind w:left="19" w:hanging="360"/>
      </w:pPr>
      <w:rPr>
        <w:rFonts w:hint="default"/>
        <w:b/>
      </w:rPr>
    </w:lvl>
    <w:lvl w:ilvl="1" w:tplc="040C0019" w:tentative="1">
      <w:start w:val="1"/>
      <w:numFmt w:val="lowerLetter"/>
      <w:lvlText w:val="%2."/>
      <w:lvlJc w:val="left"/>
      <w:pPr>
        <w:ind w:left="739" w:hanging="360"/>
      </w:pPr>
    </w:lvl>
    <w:lvl w:ilvl="2" w:tplc="040C001B" w:tentative="1">
      <w:start w:val="1"/>
      <w:numFmt w:val="lowerRoman"/>
      <w:lvlText w:val="%3."/>
      <w:lvlJc w:val="right"/>
      <w:pPr>
        <w:ind w:left="1459" w:hanging="180"/>
      </w:pPr>
    </w:lvl>
    <w:lvl w:ilvl="3" w:tplc="040C000F" w:tentative="1">
      <w:start w:val="1"/>
      <w:numFmt w:val="decimal"/>
      <w:lvlText w:val="%4."/>
      <w:lvlJc w:val="left"/>
      <w:pPr>
        <w:ind w:left="2179" w:hanging="360"/>
      </w:pPr>
    </w:lvl>
    <w:lvl w:ilvl="4" w:tplc="040C0019" w:tentative="1">
      <w:start w:val="1"/>
      <w:numFmt w:val="lowerLetter"/>
      <w:lvlText w:val="%5."/>
      <w:lvlJc w:val="left"/>
      <w:pPr>
        <w:ind w:left="2899" w:hanging="360"/>
      </w:pPr>
    </w:lvl>
    <w:lvl w:ilvl="5" w:tplc="040C001B" w:tentative="1">
      <w:start w:val="1"/>
      <w:numFmt w:val="lowerRoman"/>
      <w:lvlText w:val="%6."/>
      <w:lvlJc w:val="right"/>
      <w:pPr>
        <w:ind w:left="3619" w:hanging="180"/>
      </w:pPr>
    </w:lvl>
    <w:lvl w:ilvl="6" w:tplc="040C000F" w:tentative="1">
      <w:start w:val="1"/>
      <w:numFmt w:val="decimal"/>
      <w:lvlText w:val="%7."/>
      <w:lvlJc w:val="left"/>
      <w:pPr>
        <w:ind w:left="4339" w:hanging="360"/>
      </w:pPr>
    </w:lvl>
    <w:lvl w:ilvl="7" w:tplc="040C0019" w:tentative="1">
      <w:start w:val="1"/>
      <w:numFmt w:val="lowerLetter"/>
      <w:lvlText w:val="%8."/>
      <w:lvlJc w:val="left"/>
      <w:pPr>
        <w:ind w:left="5059" w:hanging="360"/>
      </w:pPr>
    </w:lvl>
    <w:lvl w:ilvl="8" w:tplc="040C001B" w:tentative="1">
      <w:start w:val="1"/>
      <w:numFmt w:val="lowerRoman"/>
      <w:lvlText w:val="%9."/>
      <w:lvlJc w:val="right"/>
      <w:pPr>
        <w:ind w:left="5779" w:hanging="180"/>
      </w:pPr>
    </w:lvl>
  </w:abstractNum>
  <w:abstractNum w:abstractNumId="2">
    <w:nsid w:val="3CFA01BB"/>
    <w:multiLevelType w:val="hybridMultilevel"/>
    <w:tmpl w:val="A63AB07C"/>
    <w:lvl w:ilvl="0" w:tplc="01C656F6">
      <w:start w:val="1"/>
      <w:numFmt w:val="bullet"/>
      <w:lvlText w:val=""/>
      <w:lvlJc w:val="left"/>
      <w:pPr>
        <w:ind w:left="19" w:hanging="360"/>
      </w:pPr>
      <w:rPr>
        <w:rFonts w:ascii="Symbol" w:eastAsiaTheme="minorHAnsi" w:hAnsi="Symbol" w:cs="ArabicTransparent" w:hint="default"/>
      </w:rPr>
    </w:lvl>
    <w:lvl w:ilvl="1" w:tplc="040C0003" w:tentative="1">
      <w:start w:val="1"/>
      <w:numFmt w:val="bullet"/>
      <w:lvlText w:val="o"/>
      <w:lvlJc w:val="left"/>
      <w:pPr>
        <w:ind w:left="739" w:hanging="360"/>
      </w:pPr>
      <w:rPr>
        <w:rFonts w:ascii="Courier New" w:hAnsi="Courier New" w:cs="Courier New" w:hint="default"/>
      </w:rPr>
    </w:lvl>
    <w:lvl w:ilvl="2" w:tplc="040C0005" w:tentative="1">
      <w:start w:val="1"/>
      <w:numFmt w:val="bullet"/>
      <w:lvlText w:val=""/>
      <w:lvlJc w:val="left"/>
      <w:pPr>
        <w:ind w:left="1459" w:hanging="360"/>
      </w:pPr>
      <w:rPr>
        <w:rFonts w:ascii="Wingdings" w:hAnsi="Wingdings" w:hint="default"/>
      </w:rPr>
    </w:lvl>
    <w:lvl w:ilvl="3" w:tplc="040C0001" w:tentative="1">
      <w:start w:val="1"/>
      <w:numFmt w:val="bullet"/>
      <w:lvlText w:val=""/>
      <w:lvlJc w:val="left"/>
      <w:pPr>
        <w:ind w:left="2179" w:hanging="360"/>
      </w:pPr>
      <w:rPr>
        <w:rFonts w:ascii="Symbol" w:hAnsi="Symbol" w:hint="default"/>
      </w:rPr>
    </w:lvl>
    <w:lvl w:ilvl="4" w:tplc="040C0003" w:tentative="1">
      <w:start w:val="1"/>
      <w:numFmt w:val="bullet"/>
      <w:lvlText w:val="o"/>
      <w:lvlJc w:val="left"/>
      <w:pPr>
        <w:ind w:left="2899" w:hanging="360"/>
      </w:pPr>
      <w:rPr>
        <w:rFonts w:ascii="Courier New" w:hAnsi="Courier New" w:cs="Courier New" w:hint="default"/>
      </w:rPr>
    </w:lvl>
    <w:lvl w:ilvl="5" w:tplc="040C0005" w:tentative="1">
      <w:start w:val="1"/>
      <w:numFmt w:val="bullet"/>
      <w:lvlText w:val=""/>
      <w:lvlJc w:val="left"/>
      <w:pPr>
        <w:ind w:left="3619" w:hanging="360"/>
      </w:pPr>
      <w:rPr>
        <w:rFonts w:ascii="Wingdings" w:hAnsi="Wingdings" w:hint="default"/>
      </w:rPr>
    </w:lvl>
    <w:lvl w:ilvl="6" w:tplc="040C0001" w:tentative="1">
      <w:start w:val="1"/>
      <w:numFmt w:val="bullet"/>
      <w:lvlText w:val=""/>
      <w:lvlJc w:val="left"/>
      <w:pPr>
        <w:ind w:left="4339" w:hanging="360"/>
      </w:pPr>
      <w:rPr>
        <w:rFonts w:ascii="Symbol" w:hAnsi="Symbol" w:hint="default"/>
      </w:rPr>
    </w:lvl>
    <w:lvl w:ilvl="7" w:tplc="040C0003" w:tentative="1">
      <w:start w:val="1"/>
      <w:numFmt w:val="bullet"/>
      <w:lvlText w:val="o"/>
      <w:lvlJc w:val="left"/>
      <w:pPr>
        <w:ind w:left="5059" w:hanging="360"/>
      </w:pPr>
      <w:rPr>
        <w:rFonts w:ascii="Courier New" w:hAnsi="Courier New" w:cs="Courier New" w:hint="default"/>
      </w:rPr>
    </w:lvl>
    <w:lvl w:ilvl="8" w:tplc="040C0005" w:tentative="1">
      <w:start w:val="1"/>
      <w:numFmt w:val="bullet"/>
      <w:lvlText w:val=""/>
      <w:lvlJc w:val="left"/>
      <w:pPr>
        <w:ind w:left="5779" w:hanging="360"/>
      </w:pPr>
      <w:rPr>
        <w:rFonts w:ascii="Wingdings" w:hAnsi="Wingdings" w:hint="default"/>
      </w:rPr>
    </w:lvl>
  </w:abstractNum>
  <w:abstractNum w:abstractNumId="3">
    <w:nsid w:val="6DFD4C8D"/>
    <w:multiLevelType w:val="hybridMultilevel"/>
    <w:tmpl w:val="C3EEF6DA"/>
    <w:lvl w:ilvl="0" w:tplc="8E1064C2">
      <w:numFmt w:val="bullet"/>
      <w:lvlText w:val=""/>
      <w:lvlJc w:val="left"/>
      <w:pPr>
        <w:ind w:left="465" w:hanging="360"/>
      </w:pPr>
      <w:rPr>
        <w:rFonts w:ascii="Symbol" w:eastAsiaTheme="minorHAnsi" w:hAnsi="Symbol" w:cs="Simplified Arabic"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59"/>
    <w:rsid w:val="000C74B9"/>
    <w:rsid w:val="0014763C"/>
    <w:rsid w:val="00177AF6"/>
    <w:rsid w:val="003B1912"/>
    <w:rsid w:val="003C716B"/>
    <w:rsid w:val="006A4466"/>
    <w:rsid w:val="00975C14"/>
    <w:rsid w:val="009F0BD2"/>
    <w:rsid w:val="00A10E15"/>
    <w:rsid w:val="00C1667C"/>
    <w:rsid w:val="00C97AC0"/>
    <w:rsid w:val="00CE2B8B"/>
    <w:rsid w:val="00DB0449"/>
    <w:rsid w:val="00EE7C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8A909-FFB7-40AB-BC7D-1B663D0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912"/>
    <w:pPr>
      <w:ind w:left="720"/>
      <w:contextualSpacing/>
    </w:pPr>
  </w:style>
  <w:style w:type="character" w:styleId="Lienhypertexte">
    <w:name w:val="Hyperlink"/>
    <w:basedOn w:val="Policepardfaut"/>
    <w:uiPriority w:val="99"/>
    <w:unhideWhenUsed/>
    <w:rsid w:val="00177A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3891">
      <w:bodyDiv w:val="1"/>
      <w:marLeft w:val="0"/>
      <w:marRight w:val="0"/>
      <w:marTop w:val="0"/>
      <w:marBottom w:val="0"/>
      <w:divBdr>
        <w:top w:val="none" w:sz="0" w:space="0" w:color="auto"/>
        <w:left w:val="none" w:sz="0" w:space="0" w:color="auto"/>
        <w:bottom w:val="none" w:sz="0" w:space="0" w:color="auto"/>
        <w:right w:val="none" w:sz="0" w:space="0" w:color="auto"/>
      </w:divBdr>
      <w:divsChild>
        <w:div w:id="590241035">
          <w:marLeft w:val="0"/>
          <w:marRight w:val="0"/>
          <w:marTop w:val="0"/>
          <w:marBottom w:val="200"/>
          <w:divBdr>
            <w:top w:val="none" w:sz="0" w:space="0" w:color="auto"/>
            <w:left w:val="none" w:sz="0" w:space="0" w:color="auto"/>
            <w:bottom w:val="none" w:sz="0" w:space="0" w:color="auto"/>
            <w:right w:val="none" w:sz="0" w:space="0" w:color="auto"/>
          </w:divBdr>
        </w:div>
        <w:div w:id="15621686">
          <w:marLeft w:val="0"/>
          <w:marRight w:val="0"/>
          <w:marTop w:val="0"/>
          <w:marBottom w:val="200"/>
          <w:divBdr>
            <w:top w:val="none" w:sz="0" w:space="0" w:color="auto"/>
            <w:left w:val="none" w:sz="0" w:space="0" w:color="auto"/>
            <w:bottom w:val="none" w:sz="0" w:space="0" w:color="auto"/>
            <w:right w:val="none" w:sz="0" w:space="0" w:color="auto"/>
          </w:divBdr>
        </w:div>
        <w:div w:id="1793015731">
          <w:marLeft w:val="0"/>
          <w:marRight w:val="0"/>
          <w:marTop w:val="0"/>
          <w:marBottom w:val="200"/>
          <w:divBdr>
            <w:top w:val="none" w:sz="0" w:space="0" w:color="auto"/>
            <w:left w:val="none" w:sz="0" w:space="0" w:color="auto"/>
            <w:bottom w:val="none" w:sz="0" w:space="0" w:color="auto"/>
            <w:right w:val="none" w:sz="0" w:space="0" w:color="auto"/>
          </w:divBdr>
        </w:div>
        <w:div w:id="1531608187">
          <w:marLeft w:val="0"/>
          <w:marRight w:val="0"/>
          <w:marTop w:val="0"/>
          <w:marBottom w:val="200"/>
          <w:divBdr>
            <w:top w:val="none" w:sz="0" w:space="0" w:color="auto"/>
            <w:left w:val="none" w:sz="0" w:space="0" w:color="auto"/>
            <w:bottom w:val="none" w:sz="0" w:space="0" w:color="auto"/>
            <w:right w:val="none" w:sz="0" w:space="0" w:color="auto"/>
          </w:divBdr>
        </w:div>
        <w:div w:id="642659092">
          <w:marLeft w:val="0"/>
          <w:marRight w:val="0"/>
          <w:marTop w:val="0"/>
          <w:marBottom w:val="200"/>
          <w:divBdr>
            <w:top w:val="none" w:sz="0" w:space="0" w:color="auto"/>
            <w:left w:val="none" w:sz="0" w:space="0" w:color="auto"/>
            <w:bottom w:val="none" w:sz="0" w:space="0" w:color="auto"/>
            <w:right w:val="none" w:sz="0" w:space="0" w:color="auto"/>
          </w:divBdr>
        </w:div>
      </w:divsChild>
    </w:div>
    <w:div w:id="584074307">
      <w:bodyDiv w:val="1"/>
      <w:marLeft w:val="0"/>
      <w:marRight w:val="0"/>
      <w:marTop w:val="0"/>
      <w:marBottom w:val="0"/>
      <w:divBdr>
        <w:top w:val="none" w:sz="0" w:space="0" w:color="auto"/>
        <w:left w:val="none" w:sz="0" w:space="0" w:color="auto"/>
        <w:bottom w:val="none" w:sz="0" w:space="0" w:color="auto"/>
        <w:right w:val="none" w:sz="0" w:space="0" w:color="auto"/>
      </w:divBdr>
      <w:divsChild>
        <w:div w:id="1737244361">
          <w:marLeft w:val="0"/>
          <w:marRight w:val="0"/>
          <w:marTop w:val="0"/>
          <w:marBottom w:val="200"/>
          <w:divBdr>
            <w:top w:val="none" w:sz="0" w:space="0" w:color="auto"/>
            <w:left w:val="none" w:sz="0" w:space="0" w:color="auto"/>
            <w:bottom w:val="none" w:sz="0" w:space="0" w:color="auto"/>
            <w:right w:val="none" w:sz="0" w:space="0" w:color="auto"/>
          </w:divBdr>
        </w:div>
        <w:div w:id="1337147026">
          <w:marLeft w:val="0"/>
          <w:marRight w:val="0"/>
          <w:marTop w:val="0"/>
          <w:marBottom w:val="200"/>
          <w:divBdr>
            <w:top w:val="none" w:sz="0" w:space="0" w:color="auto"/>
            <w:left w:val="none" w:sz="0" w:space="0" w:color="auto"/>
            <w:bottom w:val="none" w:sz="0" w:space="0" w:color="auto"/>
            <w:right w:val="none" w:sz="0" w:space="0" w:color="auto"/>
          </w:divBdr>
        </w:div>
        <w:div w:id="246614544">
          <w:marLeft w:val="0"/>
          <w:marRight w:val="0"/>
          <w:marTop w:val="0"/>
          <w:marBottom w:val="200"/>
          <w:divBdr>
            <w:top w:val="none" w:sz="0" w:space="0" w:color="auto"/>
            <w:left w:val="none" w:sz="0" w:space="0" w:color="auto"/>
            <w:bottom w:val="none" w:sz="0" w:space="0" w:color="auto"/>
            <w:right w:val="none" w:sz="0" w:space="0" w:color="auto"/>
          </w:divBdr>
        </w:div>
        <w:div w:id="154227066">
          <w:marLeft w:val="0"/>
          <w:marRight w:val="0"/>
          <w:marTop w:val="0"/>
          <w:marBottom w:val="200"/>
          <w:divBdr>
            <w:top w:val="none" w:sz="0" w:space="0" w:color="auto"/>
            <w:left w:val="none" w:sz="0" w:space="0" w:color="auto"/>
            <w:bottom w:val="none" w:sz="0" w:space="0" w:color="auto"/>
            <w:right w:val="none" w:sz="0" w:space="0" w:color="auto"/>
          </w:divBdr>
        </w:div>
        <w:div w:id="1316954418">
          <w:marLeft w:val="0"/>
          <w:marRight w:val="720"/>
          <w:marTop w:val="0"/>
          <w:marBottom w:val="0"/>
          <w:divBdr>
            <w:top w:val="none" w:sz="0" w:space="0" w:color="auto"/>
            <w:left w:val="none" w:sz="0" w:space="0" w:color="auto"/>
            <w:bottom w:val="none" w:sz="0" w:space="0" w:color="auto"/>
            <w:right w:val="none" w:sz="0" w:space="0" w:color="auto"/>
          </w:divBdr>
        </w:div>
        <w:div w:id="2063601612">
          <w:marLeft w:val="0"/>
          <w:marRight w:val="720"/>
          <w:marTop w:val="0"/>
          <w:marBottom w:val="0"/>
          <w:divBdr>
            <w:top w:val="none" w:sz="0" w:space="0" w:color="auto"/>
            <w:left w:val="none" w:sz="0" w:space="0" w:color="auto"/>
            <w:bottom w:val="none" w:sz="0" w:space="0" w:color="auto"/>
            <w:right w:val="none" w:sz="0" w:space="0" w:color="auto"/>
          </w:divBdr>
        </w:div>
        <w:div w:id="46805981">
          <w:marLeft w:val="0"/>
          <w:marRight w:val="720"/>
          <w:marTop w:val="0"/>
          <w:marBottom w:val="0"/>
          <w:divBdr>
            <w:top w:val="none" w:sz="0" w:space="0" w:color="auto"/>
            <w:left w:val="none" w:sz="0" w:space="0" w:color="auto"/>
            <w:bottom w:val="none" w:sz="0" w:space="0" w:color="auto"/>
            <w:right w:val="none" w:sz="0" w:space="0" w:color="auto"/>
          </w:divBdr>
        </w:div>
        <w:div w:id="904028081">
          <w:marLeft w:val="0"/>
          <w:marRight w:val="720"/>
          <w:marTop w:val="0"/>
          <w:marBottom w:val="200"/>
          <w:divBdr>
            <w:top w:val="none" w:sz="0" w:space="0" w:color="auto"/>
            <w:left w:val="none" w:sz="0" w:space="0" w:color="auto"/>
            <w:bottom w:val="none" w:sz="0" w:space="0" w:color="auto"/>
            <w:right w:val="none" w:sz="0" w:space="0" w:color="auto"/>
          </w:divBdr>
        </w:div>
        <w:div w:id="627400377">
          <w:marLeft w:val="0"/>
          <w:marRight w:val="0"/>
          <w:marTop w:val="0"/>
          <w:marBottom w:val="200"/>
          <w:divBdr>
            <w:top w:val="none" w:sz="0" w:space="0" w:color="auto"/>
            <w:left w:val="none" w:sz="0" w:space="0" w:color="auto"/>
            <w:bottom w:val="none" w:sz="0" w:space="0" w:color="auto"/>
            <w:right w:val="none" w:sz="0" w:space="0" w:color="auto"/>
          </w:divBdr>
        </w:div>
        <w:div w:id="378893413">
          <w:marLeft w:val="0"/>
          <w:marRight w:val="0"/>
          <w:marTop w:val="0"/>
          <w:marBottom w:val="200"/>
          <w:divBdr>
            <w:top w:val="none" w:sz="0" w:space="0" w:color="auto"/>
            <w:left w:val="none" w:sz="0" w:space="0" w:color="auto"/>
            <w:bottom w:val="none" w:sz="0" w:space="0" w:color="auto"/>
            <w:right w:val="none" w:sz="0" w:space="0" w:color="auto"/>
          </w:divBdr>
        </w:div>
        <w:div w:id="1621230850">
          <w:marLeft w:val="0"/>
          <w:marRight w:val="0"/>
          <w:marTop w:val="0"/>
          <w:marBottom w:val="200"/>
          <w:divBdr>
            <w:top w:val="none" w:sz="0" w:space="0" w:color="auto"/>
            <w:left w:val="none" w:sz="0" w:space="0" w:color="auto"/>
            <w:bottom w:val="none" w:sz="0" w:space="0" w:color="auto"/>
            <w:right w:val="none" w:sz="0" w:space="0" w:color="auto"/>
          </w:divBdr>
        </w:div>
        <w:div w:id="567761552">
          <w:marLeft w:val="0"/>
          <w:marRight w:val="0"/>
          <w:marTop w:val="0"/>
          <w:marBottom w:val="200"/>
          <w:divBdr>
            <w:top w:val="none" w:sz="0" w:space="0" w:color="auto"/>
            <w:left w:val="none" w:sz="0" w:space="0" w:color="auto"/>
            <w:bottom w:val="none" w:sz="0" w:space="0" w:color="auto"/>
            <w:right w:val="none" w:sz="0" w:space="0" w:color="auto"/>
          </w:divBdr>
        </w:div>
        <w:div w:id="1835606243">
          <w:marLeft w:val="0"/>
          <w:marRight w:val="0"/>
          <w:marTop w:val="0"/>
          <w:marBottom w:val="200"/>
          <w:divBdr>
            <w:top w:val="none" w:sz="0" w:space="0" w:color="auto"/>
            <w:left w:val="none" w:sz="0" w:space="0" w:color="auto"/>
            <w:bottom w:val="none" w:sz="0" w:space="0" w:color="auto"/>
            <w:right w:val="none" w:sz="0" w:space="0" w:color="auto"/>
          </w:divBdr>
        </w:div>
        <w:div w:id="632911077">
          <w:marLeft w:val="0"/>
          <w:marRight w:val="0"/>
          <w:marTop w:val="0"/>
          <w:marBottom w:val="200"/>
          <w:divBdr>
            <w:top w:val="none" w:sz="0" w:space="0" w:color="auto"/>
            <w:left w:val="none" w:sz="0" w:space="0" w:color="auto"/>
            <w:bottom w:val="none" w:sz="0" w:space="0" w:color="auto"/>
            <w:right w:val="none" w:sz="0" w:space="0" w:color="auto"/>
          </w:divBdr>
        </w:div>
        <w:div w:id="733701604">
          <w:marLeft w:val="0"/>
          <w:marRight w:val="0"/>
          <w:marTop w:val="0"/>
          <w:marBottom w:val="200"/>
          <w:divBdr>
            <w:top w:val="none" w:sz="0" w:space="0" w:color="auto"/>
            <w:left w:val="none" w:sz="0" w:space="0" w:color="auto"/>
            <w:bottom w:val="none" w:sz="0" w:space="0" w:color="auto"/>
            <w:right w:val="none" w:sz="0" w:space="0" w:color="auto"/>
          </w:divBdr>
        </w:div>
        <w:div w:id="58483552">
          <w:marLeft w:val="0"/>
          <w:marRight w:val="0"/>
          <w:marTop w:val="0"/>
          <w:marBottom w:val="200"/>
          <w:divBdr>
            <w:top w:val="none" w:sz="0" w:space="0" w:color="auto"/>
            <w:left w:val="none" w:sz="0" w:space="0" w:color="auto"/>
            <w:bottom w:val="none" w:sz="0" w:space="0" w:color="auto"/>
            <w:right w:val="none" w:sz="0" w:space="0" w:color="auto"/>
          </w:divBdr>
        </w:div>
        <w:div w:id="1915779543">
          <w:marLeft w:val="0"/>
          <w:marRight w:val="0"/>
          <w:marTop w:val="0"/>
          <w:marBottom w:val="200"/>
          <w:divBdr>
            <w:top w:val="none" w:sz="0" w:space="0" w:color="auto"/>
            <w:left w:val="none" w:sz="0" w:space="0" w:color="auto"/>
            <w:bottom w:val="none" w:sz="0" w:space="0" w:color="auto"/>
            <w:right w:val="none" w:sz="0" w:space="0" w:color="auto"/>
          </w:divBdr>
        </w:div>
        <w:div w:id="1616209046">
          <w:marLeft w:val="0"/>
          <w:marRight w:val="0"/>
          <w:marTop w:val="0"/>
          <w:marBottom w:val="200"/>
          <w:divBdr>
            <w:top w:val="none" w:sz="0" w:space="0" w:color="auto"/>
            <w:left w:val="none" w:sz="0" w:space="0" w:color="auto"/>
            <w:bottom w:val="none" w:sz="0" w:space="0" w:color="auto"/>
            <w:right w:val="none" w:sz="0" w:space="0" w:color="auto"/>
          </w:divBdr>
        </w:div>
        <w:div w:id="1879463760">
          <w:marLeft w:val="0"/>
          <w:marRight w:val="0"/>
          <w:marTop w:val="0"/>
          <w:marBottom w:val="200"/>
          <w:divBdr>
            <w:top w:val="none" w:sz="0" w:space="0" w:color="auto"/>
            <w:left w:val="none" w:sz="0" w:space="0" w:color="auto"/>
            <w:bottom w:val="none" w:sz="0" w:space="0" w:color="auto"/>
            <w:right w:val="none" w:sz="0" w:space="0" w:color="auto"/>
          </w:divBdr>
        </w:div>
        <w:div w:id="1081608165">
          <w:marLeft w:val="0"/>
          <w:marRight w:val="0"/>
          <w:marTop w:val="0"/>
          <w:marBottom w:val="200"/>
          <w:divBdr>
            <w:top w:val="none" w:sz="0" w:space="0" w:color="auto"/>
            <w:left w:val="none" w:sz="0" w:space="0" w:color="auto"/>
            <w:bottom w:val="none" w:sz="0" w:space="0" w:color="auto"/>
            <w:right w:val="none" w:sz="0" w:space="0" w:color="auto"/>
          </w:divBdr>
        </w:div>
        <w:div w:id="1819758028">
          <w:marLeft w:val="0"/>
          <w:marRight w:val="0"/>
          <w:marTop w:val="0"/>
          <w:marBottom w:val="200"/>
          <w:divBdr>
            <w:top w:val="none" w:sz="0" w:space="0" w:color="auto"/>
            <w:left w:val="none" w:sz="0" w:space="0" w:color="auto"/>
            <w:bottom w:val="none" w:sz="0" w:space="0" w:color="auto"/>
            <w:right w:val="none" w:sz="0" w:space="0" w:color="auto"/>
          </w:divBdr>
        </w:div>
        <w:div w:id="882209237">
          <w:marLeft w:val="0"/>
          <w:marRight w:val="0"/>
          <w:marTop w:val="0"/>
          <w:marBottom w:val="200"/>
          <w:divBdr>
            <w:top w:val="none" w:sz="0" w:space="0" w:color="auto"/>
            <w:left w:val="none" w:sz="0" w:space="0" w:color="auto"/>
            <w:bottom w:val="none" w:sz="0" w:space="0" w:color="auto"/>
            <w:right w:val="none" w:sz="0" w:space="0" w:color="auto"/>
          </w:divBdr>
        </w:div>
        <w:div w:id="878782891">
          <w:marLeft w:val="0"/>
          <w:marRight w:val="0"/>
          <w:marTop w:val="0"/>
          <w:marBottom w:val="200"/>
          <w:divBdr>
            <w:top w:val="none" w:sz="0" w:space="0" w:color="auto"/>
            <w:left w:val="none" w:sz="0" w:space="0" w:color="auto"/>
            <w:bottom w:val="none" w:sz="0" w:space="0" w:color="auto"/>
            <w:right w:val="none" w:sz="0" w:space="0" w:color="auto"/>
          </w:divBdr>
        </w:div>
        <w:div w:id="598222940">
          <w:marLeft w:val="0"/>
          <w:marRight w:val="0"/>
          <w:marTop w:val="0"/>
          <w:marBottom w:val="200"/>
          <w:divBdr>
            <w:top w:val="none" w:sz="0" w:space="0" w:color="auto"/>
            <w:left w:val="none" w:sz="0" w:space="0" w:color="auto"/>
            <w:bottom w:val="none" w:sz="0" w:space="0" w:color="auto"/>
            <w:right w:val="none" w:sz="0" w:space="0" w:color="auto"/>
          </w:divBdr>
        </w:div>
        <w:div w:id="1847473216">
          <w:marLeft w:val="0"/>
          <w:marRight w:val="0"/>
          <w:marTop w:val="0"/>
          <w:marBottom w:val="200"/>
          <w:divBdr>
            <w:top w:val="none" w:sz="0" w:space="0" w:color="auto"/>
            <w:left w:val="none" w:sz="0" w:space="0" w:color="auto"/>
            <w:bottom w:val="none" w:sz="0" w:space="0" w:color="auto"/>
            <w:right w:val="none" w:sz="0" w:space="0" w:color="auto"/>
          </w:divBdr>
        </w:div>
        <w:div w:id="348799350">
          <w:marLeft w:val="0"/>
          <w:marRight w:val="0"/>
          <w:marTop w:val="0"/>
          <w:marBottom w:val="200"/>
          <w:divBdr>
            <w:top w:val="none" w:sz="0" w:space="0" w:color="auto"/>
            <w:left w:val="none" w:sz="0" w:space="0" w:color="auto"/>
            <w:bottom w:val="none" w:sz="0" w:space="0" w:color="auto"/>
            <w:right w:val="none" w:sz="0" w:space="0" w:color="auto"/>
          </w:divBdr>
        </w:div>
        <w:div w:id="1415860993">
          <w:marLeft w:val="0"/>
          <w:marRight w:val="720"/>
          <w:marTop w:val="0"/>
          <w:marBottom w:val="0"/>
          <w:divBdr>
            <w:top w:val="none" w:sz="0" w:space="0" w:color="auto"/>
            <w:left w:val="none" w:sz="0" w:space="0" w:color="auto"/>
            <w:bottom w:val="none" w:sz="0" w:space="0" w:color="auto"/>
            <w:right w:val="none" w:sz="0" w:space="0" w:color="auto"/>
          </w:divBdr>
        </w:div>
        <w:div w:id="2077388810">
          <w:marLeft w:val="0"/>
          <w:marRight w:val="720"/>
          <w:marTop w:val="0"/>
          <w:marBottom w:val="0"/>
          <w:divBdr>
            <w:top w:val="none" w:sz="0" w:space="0" w:color="auto"/>
            <w:left w:val="none" w:sz="0" w:space="0" w:color="auto"/>
            <w:bottom w:val="none" w:sz="0" w:space="0" w:color="auto"/>
            <w:right w:val="none" w:sz="0" w:space="0" w:color="auto"/>
          </w:divBdr>
        </w:div>
        <w:div w:id="1614634122">
          <w:marLeft w:val="0"/>
          <w:marRight w:val="720"/>
          <w:marTop w:val="0"/>
          <w:marBottom w:val="0"/>
          <w:divBdr>
            <w:top w:val="none" w:sz="0" w:space="0" w:color="auto"/>
            <w:left w:val="none" w:sz="0" w:space="0" w:color="auto"/>
            <w:bottom w:val="none" w:sz="0" w:space="0" w:color="auto"/>
            <w:right w:val="none" w:sz="0" w:space="0" w:color="auto"/>
          </w:divBdr>
        </w:div>
        <w:div w:id="1092895106">
          <w:marLeft w:val="0"/>
          <w:marRight w:val="720"/>
          <w:marTop w:val="0"/>
          <w:marBottom w:val="0"/>
          <w:divBdr>
            <w:top w:val="none" w:sz="0" w:space="0" w:color="auto"/>
            <w:left w:val="none" w:sz="0" w:space="0" w:color="auto"/>
            <w:bottom w:val="none" w:sz="0" w:space="0" w:color="auto"/>
            <w:right w:val="none" w:sz="0" w:space="0" w:color="auto"/>
          </w:divBdr>
        </w:div>
        <w:div w:id="1072309779">
          <w:marLeft w:val="0"/>
          <w:marRight w:val="720"/>
          <w:marTop w:val="0"/>
          <w:marBottom w:val="200"/>
          <w:divBdr>
            <w:top w:val="none" w:sz="0" w:space="0" w:color="auto"/>
            <w:left w:val="none" w:sz="0" w:space="0" w:color="auto"/>
            <w:bottom w:val="none" w:sz="0" w:space="0" w:color="auto"/>
            <w:right w:val="none" w:sz="0" w:space="0" w:color="auto"/>
          </w:divBdr>
        </w:div>
        <w:div w:id="693071862">
          <w:marLeft w:val="0"/>
          <w:marRight w:val="0"/>
          <w:marTop w:val="192"/>
          <w:marBottom w:val="240"/>
          <w:divBdr>
            <w:top w:val="none" w:sz="0" w:space="0" w:color="auto"/>
            <w:left w:val="none" w:sz="0" w:space="0" w:color="auto"/>
            <w:bottom w:val="none" w:sz="0" w:space="0" w:color="auto"/>
            <w:right w:val="none" w:sz="0" w:space="0" w:color="auto"/>
          </w:divBdr>
        </w:div>
        <w:div w:id="1206067727">
          <w:marLeft w:val="0"/>
          <w:marRight w:val="0"/>
          <w:marTop w:val="192"/>
          <w:marBottom w:val="240"/>
          <w:divBdr>
            <w:top w:val="none" w:sz="0" w:space="0" w:color="auto"/>
            <w:left w:val="none" w:sz="0" w:space="0" w:color="auto"/>
            <w:bottom w:val="none" w:sz="0" w:space="0" w:color="auto"/>
            <w:right w:val="none" w:sz="0" w:space="0" w:color="auto"/>
          </w:divBdr>
        </w:div>
        <w:div w:id="423039246">
          <w:marLeft w:val="0"/>
          <w:marRight w:val="0"/>
          <w:marTop w:val="192"/>
          <w:marBottom w:val="240"/>
          <w:divBdr>
            <w:top w:val="none" w:sz="0" w:space="0" w:color="auto"/>
            <w:left w:val="none" w:sz="0" w:space="0" w:color="auto"/>
            <w:bottom w:val="none" w:sz="0" w:space="0" w:color="auto"/>
            <w:right w:val="none" w:sz="0" w:space="0" w:color="auto"/>
          </w:divBdr>
        </w:div>
        <w:div w:id="1461923786">
          <w:marLeft w:val="0"/>
          <w:marRight w:val="0"/>
          <w:marTop w:val="192"/>
          <w:marBottom w:val="240"/>
          <w:divBdr>
            <w:top w:val="none" w:sz="0" w:space="0" w:color="auto"/>
            <w:left w:val="none" w:sz="0" w:space="0" w:color="auto"/>
            <w:bottom w:val="none" w:sz="0" w:space="0" w:color="auto"/>
            <w:right w:val="none" w:sz="0" w:space="0" w:color="auto"/>
          </w:divBdr>
        </w:div>
        <w:div w:id="1859584987">
          <w:marLeft w:val="0"/>
          <w:marRight w:val="0"/>
          <w:marTop w:val="192"/>
          <w:marBottom w:val="240"/>
          <w:divBdr>
            <w:top w:val="none" w:sz="0" w:space="0" w:color="auto"/>
            <w:left w:val="none" w:sz="0" w:space="0" w:color="auto"/>
            <w:bottom w:val="none" w:sz="0" w:space="0" w:color="auto"/>
            <w:right w:val="none" w:sz="0" w:space="0" w:color="auto"/>
          </w:divBdr>
        </w:div>
        <w:div w:id="2122648378">
          <w:marLeft w:val="0"/>
          <w:marRight w:val="0"/>
          <w:marTop w:val="192"/>
          <w:marBottom w:val="240"/>
          <w:divBdr>
            <w:top w:val="none" w:sz="0" w:space="0" w:color="auto"/>
            <w:left w:val="none" w:sz="0" w:space="0" w:color="auto"/>
            <w:bottom w:val="none" w:sz="0" w:space="0" w:color="auto"/>
            <w:right w:val="none" w:sz="0" w:space="0" w:color="auto"/>
          </w:divBdr>
        </w:div>
        <w:div w:id="1029650520">
          <w:marLeft w:val="0"/>
          <w:marRight w:val="0"/>
          <w:marTop w:val="192"/>
          <w:marBottom w:val="240"/>
          <w:divBdr>
            <w:top w:val="none" w:sz="0" w:space="0" w:color="auto"/>
            <w:left w:val="none" w:sz="0" w:space="0" w:color="auto"/>
            <w:bottom w:val="none" w:sz="0" w:space="0" w:color="auto"/>
            <w:right w:val="none" w:sz="0" w:space="0" w:color="auto"/>
          </w:divBdr>
        </w:div>
        <w:div w:id="656223143">
          <w:marLeft w:val="0"/>
          <w:marRight w:val="0"/>
          <w:marTop w:val="192"/>
          <w:marBottom w:val="240"/>
          <w:divBdr>
            <w:top w:val="none" w:sz="0" w:space="0" w:color="auto"/>
            <w:left w:val="none" w:sz="0" w:space="0" w:color="auto"/>
            <w:bottom w:val="none" w:sz="0" w:space="0" w:color="auto"/>
            <w:right w:val="none" w:sz="0" w:space="0" w:color="auto"/>
          </w:divBdr>
        </w:div>
        <w:div w:id="720177164">
          <w:marLeft w:val="0"/>
          <w:marRight w:val="0"/>
          <w:marTop w:val="192"/>
          <w:marBottom w:val="240"/>
          <w:divBdr>
            <w:top w:val="none" w:sz="0" w:space="0" w:color="auto"/>
            <w:left w:val="none" w:sz="0" w:space="0" w:color="auto"/>
            <w:bottom w:val="none" w:sz="0" w:space="0" w:color="auto"/>
            <w:right w:val="none" w:sz="0" w:space="0" w:color="auto"/>
          </w:divBdr>
        </w:div>
        <w:div w:id="811411416">
          <w:marLeft w:val="0"/>
          <w:marRight w:val="0"/>
          <w:marTop w:val="0"/>
          <w:marBottom w:val="200"/>
          <w:divBdr>
            <w:top w:val="none" w:sz="0" w:space="0" w:color="auto"/>
            <w:left w:val="none" w:sz="0" w:space="0" w:color="auto"/>
            <w:bottom w:val="none" w:sz="0" w:space="0" w:color="auto"/>
            <w:right w:val="none" w:sz="0" w:space="0" w:color="auto"/>
          </w:divBdr>
        </w:div>
        <w:div w:id="322245597">
          <w:marLeft w:val="0"/>
          <w:marRight w:val="0"/>
          <w:marTop w:val="0"/>
          <w:marBottom w:val="200"/>
          <w:divBdr>
            <w:top w:val="none" w:sz="0" w:space="0" w:color="auto"/>
            <w:left w:val="none" w:sz="0" w:space="0" w:color="auto"/>
            <w:bottom w:val="none" w:sz="0" w:space="0" w:color="auto"/>
            <w:right w:val="none" w:sz="0" w:space="0" w:color="auto"/>
          </w:divBdr>
        </w:div>
        <w:div w:id="65810485">
          <w:marLeft w:val="0"/>
          <w:marRight w:val="0"/>
          <w:marTop w:val="0"/>
          <w:marBottom w:val="200"/>
          <w:divBdr>
            <w:top w:val="none" w:sz="0" w:space="0" w:color="auto"/>
            <w:left w:val="none" w:sz="0" w:space="0" w:color="auto"/>
            <w:bottom w:val="none" w:sz="0" w:space="0" w:color="auto"/>
            <w:right w:val="none" w:sz="0" w:space="0" w:color="auto"/>
          </w:divBdr>
        </w:div>
        <w:div w:id="12728139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6C40C76-EFAC-472D-877E-157A7028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2020-03-18T20:26:00Z</dcterms:created>
  <dcterms:modified xsi:type="dcterms:W3CDTF">2020-03-18T20:26:00Z</dcterms:modified>
</cp:coreProperties>
</file>