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00" w:rsidRPr="006A3500" w:rsidRDefault="006A3500" w:rsidP="006A3500">
      <w:pPr>
        <w:overflowPunct w:val="0"/>
        <w:autoSpaceDE w:val="0"/>
        <w:autoSpaceDN w:val="0"/>
        <w:adjustRightInd w:val="0"/>
        <w:spacing w:before="100" w:beforeAutospacing="1"/>
        <w:ind w:right="360"/>
        <w:jc w:val="center"/>
        <w:textAlignment w:val="baseline"/>
        <w:rPr>
          <w:rFonts w:ascii="Amiri" w:eastAsia="Times New Roman" w:hAnsi="Amiri" w:cs="Amiri"/>
          <w:b/>
          <w:bCs/>
          <w:sz w:val="32"/>
          <w:szCs w:val="32"/>
          <w:rtl/>
          <w:lang w:val="fr-FR" w:eastAsia="ar-SA"/>
        </w:rPr>
      </w:pPr>
      <w:r w:rsidRPr="006A3500">
        <w:rPr>
          <w:rFonts w:ascii="Amiri" w:eastAsia="Times New Roman" w:hAnsi="Amiri" w:cs="Amiri"/>
          <w:b/>
          <w:bCs/>
          <w:sz w:val="32"/>
          <w:szCs w:val="32"/>
          <w:rtl/>
          <w:lang w:val="fr-FR" w:eastAsia="ar-SA"/>
        </w:rPr>
        <w:t>المحور الثاني</w:t>
      </w:r>
    </w:p>
    <w:p w:rsidR="006A3500" w:rsidRPr="006A3500" w:rsidRDefault="006A3500" w:rsidP="006A3500">
      <w:pPr>
        <w:overflowPunct w:val="0"/>
        <w:autoSpaceDE w:val="0"/>
        <w:autoSpaceDN w:val="0"/>
        <w:adjustRightInd w:val="0"/>
        <w:ind w:right="360"/>
        <w:jc w:val="center"/>
        <w:textAlignment w:val="baseline"/>
        <w:rPr>
          <w:rFonts w:ascii="Amiri" w:eastAsia="Times New Roman" w:hAnsi="Amiri" w:cs="Amiri"/>
          <w:b/>
          <w:bCs/>
          <w:sz w:val="32"/>
          <w:szCs w:val="32"/>
          <w:rtl/>
          <w:lang w:val="fr-FR" w:eastAsia="ar-SA"/>
        </w:rPr>
      </w:pPr>
      <w:r>
        <w:rPr>
          <w:rFonts w:ascii="Amiri" w:eastAsia="Times New Roman" w:hAnsi="Amiri" w:cs="Amiri"/>
          <w:b/>
          <w:bCs/>
          <w:sz w:val="32"/>
          <w:szCs w:val="32"/>
          <w:rtl/>
          <w:lang w:val="fr-FR" w:eastAsia="ar-SA"/>
        </w:rPr>
        <w:t>حجّيّة الاستصح</w:t>
      </w:r>
      <w:r w:rsidRPr="006A3500">
        <w:rPr>
          <w:rFonts w:ascii="Amiri" w:eastAsia="Times New Roman" w:hAnsi="Amiri" w:cs="Amiri"/>
          <w:b/>
          <w:bCs/>
          <w:sz w:val="32"/>
          <w:szCs w:val="32"/>
          <w:rtl/>
          <w:lang w:val="fr-FR" w:eastAsia="ar-SA"/>
        </w:rPr>
        <w:t>اب</w:t>
      </w:r>
      <w:bookmarkStart w:id="0" w:name="_GoBack"/>
      <w:bookmarkEnd w:id="0"/>
    </w:p>
    <w:p w:rsidR="006A3500" w:rsidRPr="006A3500" w:rsidRDefault="006A3500" w:rsidP="006A3500">
      <w:pPr>
        <w:overflowPunct w:val="0"/>
        <w:autoSpaceDE w:val="0"/>
        <w:autoSpaceDN w:val="0"/>
        <w:adjustRightInd w:val="0"/>
        <w:spacing w:before="100" w:beforeAutospacing="1"/>
        <w:jc w:val="both"/>
        <w:textAlignment w:val="baseline"/>
        <w:rPr>
          <w:rFonts w:ascii="Times New Roman" w:eastAsia="Times New Roman" w:hAnsi="Times New Roman" w:cs="Traditional Arabic" w:hint="cs"/>
          <w:sz w:val="32"/>
          <w:szCs w:val="32"/>
          <w:rtl/>
          <w:lang w:val="fr-FR" w:eastAsia="ar-SA"/>
        </w:rPr>
      </w:pPr>
      <w:r w:rsidRPr="006A3500">
        <w:rPr>
          <w:rFonts w:ascii="Times New Roman" w:eastAsia="Times New Roman" w:hAnsi="Times New Roman" w:cs="Traditional Arabic" w:hint="cs"/>
          <w:sz w:val="32"/>
          <w:szCs w:val="32"/>
          <w:rtl/>
          <w:lang w:val="fr-FR" w:eastAsia="ar-SA"/>
        </w:rPr>
        <w:t>افترق العلماء في الاحتجاج بدليل الاستصحاب إلى ثلاثة مذاهب :</w:t>
      </w:r>
    </w:p>
    <w:p w:rsidR="006A3500" w:rsidRPr="006A3500" w:rsidRDefault="006A3500" w:rsidP="006A350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6A3500">
        <w:rPr>
          <w:rFonts w:ascii="Times New Roman" w:eastAsia="Times New Roman" w:hAnsi="Times New Roman" w:cs="Traditional Arabic" w:hint="cs"/>
          <w:b/>
          <w:bCs/>
          <w:sz w:val="32"/>
          <w:szCs w:val="32"/>
          <w:rtl/>
          <w:lang w:val="fr-FR" w:eastAsia="ar-SA"/>
        </w:rPr>
        <w:t xml:space="preserve">1 </w:t>
      </w:r>
      <w:r w:rsidRPr="006A3500">
        <w:rPr>
          <w:rFonts w:ascii="Times New Roman" w:eastAsia="Times New Roman" w:hAnsi="Times New Roman" w:cs="Traditional Arabic"/>
          <w:b/>
          <w:bCs/>
          <w:sz w:val="32"/>
          <w:szCs w:val="32"/>
          <w:rtl/>
          <w:lang w:val="fr-FR" w:eastAsia="ar-SA"/>
        </w:rPr>
        <w:t>–</w:t>
      </w:r>
      <w:r w:rsidRPr="006A3500">
        <w:rPr>
          <w:rFonts w:ascii="Times New Roman" w:eastAsia="Times New Roman" w:hAnsi="Times New Roman" w:cs="Traditional Arabic" w:hint="cs"/>
          <w:b/>
          <w:bCs/>
          <w:sz w:val="32"/>
          <w:szCs w:val="32"/>
          <w:rtl/>
          <w:lang w:val="fr-FR" w:eastAsia="ar-SA"/>
        </w:rPr>
        <w:t xml:space="preserve"> </w:t>
      </w:r>
      <w:r w:rsidRPr="006A3500">
        <w:rPr>
          <w:rFonts w:ascii="Times New Roman" w:eastAsia="Times New Roman" w:hAnsi="Times New Roman" w:cs="Traditional Arabic" w:hint="cs"/>
          <w:sz w:val="32"/>
          <w:szCs w:val="32"/>
          <w:rtl/>
          <w:lang w:val="fr-FR" w:eastAsia="ar-SA"/>
        </w:rPr>
        <w:t xml:space="preserve">يرى أكثر العلماء وفي مقدّمتهم </w:t>
      </w:r>
      <w:r w:rsidRPr="006A3500">
        <w:rPr>
          <w:rFonts w:ascii="Times New Roman" w:eastAsia="Times New Roman" w:hAnsi="Times New Roman" w:cs="Traditional Arabic" w:hint="cs"/>
          <w:b/>
          <w:bCs/>
          <w:sz w:val="32"/>
          <w:szCs w:val="32"/>
          <w:rtl/>
          <w:lang w:val="fr-FR" w:eastAsia="ar-SA"/>
        </w:rPr>
        <w:t>المالكية والحنابلة وأكثر الشافعية</w:t>
      </w:r>
      <w:r w:rsidRPr="006A3500">
        <w:rPr>
          <w:rFonts w:ascii="Times New Roman" w:eastAsia="Times New Roman" w:hAnsi="Times New Roman" w:cs="Traditional Arabic" w:hint="cs"/>
          <w:sz w:val="32"/>
          <w:szCs w:val="32"/>
          <w:rtl/>
          <w:lang w:val="fr-FR" w:eastAsia="ar-SA"/>
        </w:rPr>
        <w:t xml:space="preserve"> أنّ الاستصحاب حجّة شرعية لإبقاء الأمر على ما كان عليه سواء كان الثابت نفياً أصلياً أو حكماً شرعياً، أي أنّه حجّة في النفي والإثبات، قال الشيخ محمّد أبو زهرة محلِّلاً قول الأصوليين "إنّه حجّة في النفي والإثبات" : ’’ الحكم الذي يستمرّ باستمرار الحال له جانبان: جانب إيجابي مثبت وجانب سلبي مثبت، ولعلّ أوضح مثال نقرّر به هذين الجانبين هو المفقود قبل الحكم بوفاته، فإنّ الحال التي كانت ثابتة هي الحياة، فيفرض استمرارها وتستمرّ معها الأحكام، وهي ذات جانبين :</w:t>
      </w:r>
    </w:p>
    <w:p w:rsidR="006A3500" w:rsidRPr="006A3500" w:rsidRDefault="006A3500" w:rsidP="006A350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6A3500">
        <w:rPr>
          <w:rFonts w:ascii="Times New Roman" w:eastAsia="Times New Roman" w:hAnsi="Times New Roman" w:cs="Traditional Arabic" w:hint="cs"/>
          <w:sz w:val="32"/>
          <w:szCs w:val="32"/>
          <w:rtl/>
          <w:lang w:val="fr-FR" w:eastAsia="ar-SA"/>
        </w:rPr>
        <w:t xml:space="preserve">أ </w:t>
      </w:r>
      <w:r w:rsidRPr="006A3500">
        <w:rPr>
          <w:rFonts w:ascii="Times New Roman" w:eastAsia="Times New Roman" w:hAnsi="Times New Roman" w:cs="Traditional Arabic"/>
          <w:sz w:val="32"/>
          <w:szCs w:val="32"/>
          <w:rtl/>
          <w:lang w:val="fr-FR" w:eastAsia="ar-SA"/>
        </w:rPr>
        <w:t>–</w:t>
      </w:r>
      <w:r w:rsidRPr="006A3500">
        <w:rPr>
          <w:rFonts w:ascii="Times New Roman" w:eastAsia="Times New Roman" w:hAnsi="Times New Roman" w:cs="Traditional Arabic" w:hint="cs"/>
          <w:sz w:val="32"/>
          <w:szCs w:val="32"/>
          <w:rtl/>
          <w:lang w:val="fr-FR" w:eastAsia="ar-SA"/>
        </w:rPr>
        <w:t xml:space="preserve"> اكتساب الحقوق التي تثبت للحيّ قبل غيره، كميراثه من غيره وانتقال ملك الغير إليه كمثل الوصية والميراث، فإنّ هذا جانب إيجابي يجلب حقوقاً جديدة .</w:t>
      </w:r>
    </w:p>
    <w:p w:rsidR="006A3500" w:rsidRPr="006A3500" w:rsidRDefault="006A3500" w:rsidP="006A350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6A3500">
        <w:rPr>
          <w:rFonts w:ascii="Times New Roman" w:eastAsia="Times New Roman" w:hAnsi="Times New Roman" w:cs="Traditional Arabic" w:hint="cs"/>
          <w:sz w:val="32"/>
          <w:szCs w:val="32"/>
          <w:rtl/>
          <w:lang w:val="fr-FR" w:eastAsia="ar-SA"/>
        </w:rPr>
        <w:t xml:space="preserve">ب </w:t>
      </w:r>
      <w:r w:rsidRPr="006A3500">
        <w:rPr>
          <w:rFonts w:ascii="Times New Roman" w:eastAsia="Times New Roman" w:hAnsi="Times New Roman" w:cs="Traditional Arabic"/>
          <w:sz w:val="32"/>
          <w:szCs w:val="32"/>
          <w:rtl/>
          <w:lang w:val="fr-FR" w:eastAsia="ar-SA"/>
        </w:rPr>
        <w:t>–</w:t>
      </w:r>
      <w:r w:rsidRPr="006A3500">
        <w:rPr>
          <w:rFonts w:ascii="Times New Roman" w:eastAsia="Times New Roman" w:hAnsi="Times New Roman" w:cs="Traditional Arabic" w:hint="cs"/>
          <w:sz w:val="32"/>
          <w:szCs w:val="32"/>
          <w:rtl/>
          <w:lang w:val="fr-FR" w:eastAsia="ar-SA"/>
        </w:rPr>
        <w:t xml:space="preserve"> ملكيته للأمور الثابتة ملكيتها قبل الفقد، ومنع غيره منها لفرض استمرار حياته، ويسمّى ذلك الحقّ سلبياً ..‘‘..</w:t>
      </w:r>
    </w:p>
    <w:p w:rsidR="006A3500" w:rsidRPr="006A3500" w:rsidRDefault="006A3500" w:rsidP="006A350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6A3500">
        <w:rPr>
          <w:rFonts w:ascii="Times New Roman" w:eastAsia="Times New Roman" w:hAnsi="Times New Roman" w:cs="Traditional Arabic" w:hint="cs"/>
          <w:b/>
          <w:bCs/>
          <w:sz w:val="32"/>
          <w:szCs w:val="32"/>
          <w:rtl/>
          <w:lang w:val="fr-FR" w:eastAsia="ar-SA"/>
        </w:rPr>
        <w:t>أدلّتهم :</w:t>
      </w:r>
      <w:r w:rsidRPr="006A3500">
        <w:rPr>
          <w:rFonts w:ascii="Times New Roman" w:eastAsia="Times New Roman" w:hAnsi="Times New Roman" w:cs="Traditional Arabic" w:hint="cs"/>
          <w:sz w:val="32"/>
          <w:szCs w:val="32"/>
          <w:rtl/>
          <w:lang w:val="fr-FR" w:eastAsia="ar-SA"/>
        </w:rPr>
        <w:t xml:space="preserve"> </w:t>
      </w:r>
    </w:p>
    <w:p w:rsidR="006A3500" w:rsidRPr="006A3500" w:rsidRDefault="006A3500" w:rsidP="006A350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6A3500">
        <w:rPr>
          <w:rFonts w:ascii="Times New Roman" w:eastAsia="Times New Roman" w:hAnsi="Times New Roman" w:cs="Traditional Arabic" w:hint="cs"/>
          <w:b/>
          <w:bCs/>
          <w:sz w:val="32"/>
          <w:szCs w:val="32"/>
          <w:rtl/>
          <w:lang w:val="fr-FR" w:eastAsia="ar-SA"/>
        </w:rPr>
        <w:t>- من الكتاب :</w:t>
      </w:r>
      <w:r w:rsidRPr="006A3500">
        <w:rPr>
          <w:rFonts w:ascii="Times New Roman" w:eastAsia="Times New Roman" w:hAnsi="Times New Roman" w:cs="Traditional Arabic" w:hint="cs"/>
          <w:sz w:val="32"/>
          <w:szCs w:val="32"/>
          <w:rtl/>
          <w:lang w:val="fr-FR" w:eastAsia="ar-SA"/>
        </w:rPr>
        <w:t xml:space="preserve"> قوله تعالى: { قل لآ أجد فيما أوحي إليّ محرّماً على طاعم يطعمه إلاّ أن يكون ميتة أو دماً مسفوحاً أو لحم خنزير فإنّه رجس أو فسقاً أُهِلّ لغير الله به }</w:t>
      </w:r>
      <w:r w:rsidRPr="006A3500">
        <w:rPr>
          <w:rFonts w:ascii="Times New Roman" w:eastAsia="Times New Roman" w:hAnsi="Times New Roman" w:cs="Traditional Arabic"/>
          <w:sz w:val="32"/>
          <w:szCs w:val="32"/>
          <w:vertAlign w:val="superscript"/>
          <w:rtl/>
          <w:lang w:val="fr-FR" w:eastAsia="ar-SA"/>
        </w:rPr>
        <w:footnoteReference w:id="1"/>
      </w:r>
      <w:r w:rsidRPr="006A3500">
        <w:rPr>
          <w:rFonts w:ascii="Times New Roman" w:eastAsia="Times New Roman" w:hAnsi="Times New Roman" w:cs="Traditional Arabic" w:hint="cs"/>
          <w:sz w:val="32"/>
          <w:szCs w:val="32"/>
          <w:rtl/>
          <w:lang w:val="fr-FR" w:eastAsia="ar-SA"/>
        </w:rPr>
        <w:t>، فقد أفادت الآية إباحة ما لم يدلّ الشرع على حرمته ..</w:t>
      </w:r>
    </w:p>
    <w:p w:rsidR="006A3500" w:rsidRPr="006A3500" w:rsidRDefault="006A3500" w:rsidP="006A3500">
      <w:pPr>
        <w:overflowPunct w:val="0"/>
        <w:autoSpaceDE w:val="0"/>
        <w:autoSpaceDN w:val="0"/>
        <w:adjustRightInd w:val="0"/>
        <w:jc w:val="both"/>
        <w:textAlignment w:val="baseline"/>
        <w:rPr>
          <w:rFonts w:ascii="Times New Roman" w:eastAsia="Times New Roman" w:hAnsi="Times New Roman" w:cs="Traditional Arabic" w:hint="cs"/>
          <w:sz w:val="32"/>
          <w:szCs w:val="32"/>
          <w:rtl/>
          <w:lang w:eastAsia="ar-SA"/>
        </w:rPr>
      </w:pPr>
      <w:r w:rsidRPr="006A3500">
        <w:rPr>
          <w:rFonts w:ascii="Times New Roman" w:eastAsia="Times New Roman" w:hAnsi="Times New Roman" w:cs="Traditional Arabic" w:hint="cs"/>
          <w:b/>
          <w:bCs/>
          <w:sz w:val="32"/>
          <w:szCs w:val="32"/>
          <w:rtl/>
          <w:lang w:val="fr-FR" w:eastAsia="ar-SA"/>
        </w:rPr>
        <w:t>- من السنّة :</w:t>
      </w:r>
      <w:r w:rsidRPr="006A3500">
        <w:rPr>
          <w:rFonts w:ascii="Times New Roman" w:eastAsia="Times New Roman" w:hAnsi="Times New Roman" w:cs="Traditional Arabic" w:hint="cs"/>
          <w:sz w:val="32"/>
          <w:szCs w:val="32"/>
          <w:rtl/>
          <w:lang w:val="fr-FR" w:eastAsia="ar-SA"/>
        </w:rPr>
        <w:t xml:space="preserve"> </w:t>
      </w:r>
      <w:r w:rsidRPr="006A3500">
        <w:rPr>
          <w:rFonts w:ascii="Times New Roman" w:eastAsia="Times New Roman" w:hAnsi="Times New Roman" w:cs="Traditional Arabic" w:hint="cs"/>
          <w:sz w:val="32"/>
          <w:szCs w:val="32"/>
          <w:rtl/>
          <w:lang w:eastAsia="ar-SA"/>
        </w:rPr>
        <w:t xml:space="preserve">عَنْ أَبِي هُرَيْرَةَ قَالَ: قَالَ رَسُولُ اللَّهِ </w:t>
      </w:r>
      <w:r w:rsidRPr="006A3500">
        <w:rPr>
          <w:rFonts w:ascii="Times New Roman" w:eastAsia="Times New Roman" w:hAnsi="Times New Roman" w:cs="Traditional Arabic"/>
          <w:sz w:val="32"/>
          <w:szCs w:val="32"/>
          <w:lang w:eastAsia="ar-SA"/>
        </w:rPr>
        <w:sym w:font="AGA Arabesque" w:char="F072"/>
      </w:r>
      <w:r w:rsidRPr="006A3500">
        <w:rPr>
          <w:rFonts w:ascii="Times New Roman" w:eastAsia="Times New Roman" w:hAnsi="Times New Roman" w:cs="Traditional Arabic" w:hint="cs"/>
          <w:sz w:val="32"/>
          <w:szCs w:val="32"/>
          <w:rtl/>
          <w:lang w:eastAsia="ar-SA"/>
        </w:rPr>
        <w:t xml:space="preserve"> : ( إِذَا وَجَدَ أَحَدُكُمْ فِي بَطْنِهِ شَيْئًا فَأَشْكَلَ عَلَيْهِ أَخَرَجَ مِنْهُ شَيْءٌ أَمْ لَا فَلَا يَخْرُجَنَّ مِنْ الْمَسْجِدِ حَتَّى يَسْمَعَ صَوْتًا أَوْ يَجِدَ رِيحًا)</w:t>
      </w:r>
      <w:r w:rsidRPr="006A3500">
        <w:rPr>
          <w:rFonts w:ascii="Times New Roman" w:eastAsia="Times New Roman" w:hAnsi="Times New Roman" w:cs="Traditional Arabic"/>
          <w:sz w:val="32"/>
          <w:szCs w:val="32"/>
          <w:vertAlign w:val="superscript"/>
          <w:rtl/>
          <w:lang w:eastAsia="ar-SA"/>
        </w:rPr>
        <w:footnoteReference w:id="2"/>
      </w:r>
      <w:r w:rsidRPr="006A3500">
        <w:rPr>
          <w:rFonts w:ascii="Times New Roman" w:eastAsia="Times New Roman" w:hAnsi="Times New Roman" w:cs="Traditional Arabic" w:hint="cs"/>
          <w:sz w:val="32"/>
          <w:szCs w:val="32"/>
          <w:rtl/>
          <w:lang w:eastAsia="ar-SA"/>
        </w:rPr>
        <w:t xml:space="preserve">، فقد أفاد الحديث الحكم باستدامة الوضوء عند الاشتباه، وهو عين الاستصحاب .. </w:t>
      </w:r>
    </w:p>
    <w:p w:rsidR="006A3500" w:rsidRPr="006A3500" w:rsidRDefault="006A3500" w:rsidP="006A350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6A3500">
        <w:rPr>
          <w:rFonts w:ascii="Times New Roman" w:eastAsia="Times New Roman" w:hAnsi="Times New Roman" w:cs="Traditional Arabic" w:hint="cs"/>
          <w:sz w:val="32"/>
          <w:szCs w:val="32"/>
          <w:rtl/>
          <w:lang w:eastAsia="ar-SA"/>
        </w:rPr>
        <w:t>وكذلك ما روي - في هذا المعنى -</w:t>
      </w:r>
      <w:r w:rsidRPr="006A3500">
        <w:rPr>
          <w:rFonts w:ascii="Times New Roman" w:eastAsia="Times New Roman" w:hAnsi="Times New Roman" w:cs="Traditional Arabic" w:hint="cs"/>
          <w:sz w:val="32"/>
          <w:szCs w:val="32"/>
          <w:rtl/>
          <w:lang w:val="fr-FR" w:eastAsia="ar-SA"/>
        </w:rPr>
        <w:t xml:space="preserve"> عَنْ أَبِي سَعِيدٍ الْخُدْرِيِّ قَالَ: قَالَ رَسُولُ اللَّهِ </w:t>
      </w:r>
      <w:r w:rsidRPr="006A3500">
        <w:rPr>
          <w:rFonts w:ascii="Times New Roman" w:eastAsia="Times New Roman" w:hAnsi="Times New Roman" w:cs="Traditional Arabic"/>
          <w:sz w:val="32"/>
          <w:szCs w:val="32"/>
          <w:lang w:eastAsia="ar-SA"/>
        </w:rPr>
        <w:sym w:font="AGA Arabesque" w:char="F072"/>
      </w:r>
      <w:r w:rsidRPr="006A3500">
        <w:rPr>
          <w:rFonts w:ascii="Times New Roman" w:eastAsia="Times New Roman" w:hAnsi="Times New Roman" w:cs="Traditional Arabic" w:hint="cs"/>
          <w:sz w:val="32"/>
          <w:szCs w:val="32"/>
          <w:rtl/>
          <w:lang w:val="fr-FR" w:eastAsia="ar-SA"/>
        </w:rPr>
        <w:t xml:space="preserve"> : ( إِذَا شَكَّ أَحَدُكُمْ فِي صَلَاتِهِ فَلَمْ يَدْرِ كَمْ صَلَّى ثَلَاثًا أَمْ أَرْبَعًا فَلْيَطْرَحْ الشَّكَّ وَلْيَبْنِ عَلَى مَا اسْتَيْقَنَ ثُمَّ يَسْجُدُ سَجْدَتَيْنِ قَبْلَ أَنْ يُسَلِّمَ فَإِنْ كَانَ صَلَّى خَمْسًا شَفَعْنَ لَهُ صَلَاتَهُ وَإِنْ كَانَ صَلَّى إِتْمَامًا لِأَرْبَعٍ كَانَتَا تَرْغِيمًا لِلشَّيْطَانِ )</w:t>
      </w:r>
      <w:r w:rsidRPr="006A3500">
        <w:rPr>
          <w:rFonts w:ascii="Times New Roman" w:eastAsia="Times New Roman" w:hAnsi="Times New Roman" w:cs="Traditional Arabic"/>
          <w:sz w:val="32"/>
          <w:szCs w:val="32"/>
          <w:vertAlign w:val="superscript"/>
          <w:rtl/>
          <w:lang w:val="fr-FR" w:eastAsia="ar-SA"/>
        </w:rPr>
        <w:footnoteReference w:id="3"/>
      </w:r>
      <w:r w:rsidRPr="006A3500">
        <w:rPr>
          <w:rFonts w:ascii="Times New Roman" w:eastAsia="Times New Roman" w:hAnsi="Times New Roman" w:cs="Traditional Arabic" w:hint="cs"/>
          <w:sz w:val="32"/>
          <w:szCs w:val="32"/>
          <w:rtl/>
          <w:lang w:val="fr-FR" w:eastAsia="ar-SA"/>
        </w:rPr>
        <w:t>، فقد دلّ الحديث على استصحاب اليقين عند طروّ الشكّ ..</w:t>
      </w:r>
    </w:p>
    <w:p w:rsidR="006A3500" w:rsidRPr="006A3500" w:rsidRDefault="006A3500" w:rsidP="006A350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6A3500">
        <w:rPr>
          <w:rFonts w:ascii="Times New Roman" w:eastAsia="Times New Roman" w:hAnsi="Times New Roman" w:cs="Traditional Arabic" w:hint="cs"/>
          <w:b/>
          <w:bCs/>
          <w:sz w:val="32"/>
          <w:szCs w:val="32"/>
          <w:rtl/>
          <w:lang w:val="fr-FR" w:eastAsia="ar-SA"/>
        </w:rPr>
        <w:lastRenderedPageBreak/>
        <w:t>- الإجمـاع :</w:t>
      </w:r>
      <w:r w:rsidRPr="006A3500">
        <w:rPr>
          <w:rFonts w:ascii="Times New Roman" w:eastAsia="Times New Roman" w:hAnsi="Times New Roman" w:cs="Traditional Arabic" w:hint="cs"/>
          <w:sz w:val="32"/>
          <w:szCs w:val="32"/>
          <w:rtl/>
          <w:lang w:val="fr-FR" w:eastAsia="ar-SA"/>
        </w:rPr>
        <w:t xml:space="preserve"> انعقد الإجماع على أنّ ما ثبت يقيناً لا يزول بالشكّ، فمن توضّأ ثمّ شكّ في الحدث فلا تزول طهارته لتيقّنها، ولا اعتبار بالشكّ، ومن شكّ ابتداء في أنّه توضّأ لا يجوز له أن يصلّي، بل لا بدّ له من الوضوء لغلبة الظنّ ببقاء عدم الطهارة، وكذلك من شكّ في أنّه طلّق زوجته فلا عبرة بشكّه لأنّ الزوجية متيقّنة فتستصحب والطلاق مشكوك فيه، أمّا من شكّ في حصول الزوجية ابتداء فإنّه يحرم عليه الاستمتاع لأنّ عليه أن يستصحب الحالة الموجودة قبل الشكّ، وهي عدم الزوجية وحصول العقد ..</w:t>
      </w:r>
    </w:p>
    <w:p w:rsidR="006A3500" w:rsidRPr="006A3500" w:rsidRDefault="006A3500" w:rsidP="006A350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6A3500">
        <w:rPr>
          <w:rFonts w:ascii="Times New Roman" w:eastAsia="Times New Roman" w:hAnsi="Times New Roman" w:cs="Traditional Arabic" w:hint="cs"/>
          <w:b/>
          <w:bCs/>
          <w:sz w:val="32"/>
          <w:szCs w:val="32"/>
          <w:rtl/>
          <w:lang w:val="fr-FR" w:eastAsia="ar-SA"/>
        </w:rPr>
        <w:t>- المعقـول :</w:t>
      </w:r>
      <w:r w:rsidRPr="006A3500">
        <w:rPr>
          <w:rFonts w:ascii="Times New Roman" w:eastAsia="Times New Roman" w:hAnsi="Times New Roman" w:cs="Traditional Arabic" w:hint="cs"/>
          <w:sz w:val="32"/>
          <w:szCs w:val="32"/>
          <w:rtl/>
          <w:lang w:val="fr-FR" w:eastAsia="ar-SA"/>
        </w:rPr>
        <w:t xml:space="preserve"> </w:t>
      </w:r>
    </w:p>
    <w:p w:rsidR="006A3500" w:rsidRPr="006A3500" w:rsidRDefault="006A3500" w:rsidP="006A3500">
      <w:pPr>
        <w:overflowPunct w:val="0"/>
        <w:autoSpaceDE w:val="0"/>
        <w:autoSpaceDN w:val="0"/>
        <w:adjustRightInd w:val="0"/>
        <w:jc w:val="both"/>
        <w:textAlignment w:val="baseline"/>
        <w:rPr>
          <w:rFonts w:ascii="Times New Roman" w:eastAsia="Times New Roman" w:hAnsi="Times New Roman" w:cs="Traditional Arabic" w:hint="cs"/>
          <w:sz w:val="32"/>
          <w:szCs w:val="32"/>
          <w:rtl/>
          <w:lang w:eastAsia="ar-SA"/>
        </w:rPr>
      </w:pPr>
      <w:r w:rsidRPr="006A3500">
        <w:rPr>
          <w:rFonts w:ascii="Times New Roman" w:eastAsia="Times New Roman" w:hAnsi="Times New Roman" w:cs="Traditional Arabic" w:hint="cs"/>
          <w:sz w:val="32"/>
          <w:szCs w:val="32"/>
          <w:rtl/>
          <w:lang w:val="fr-FR" w:eastAsia="ar-SA"/>
        </w:rPr>
        <w:t xml:space="preserve">1 </w:t>
      </w:r>
      <w:r w:rsidRPr="006A3500">
        <w:rPr>
          <w:rFonts w:ascii="Times New Roman" w:eastAsia="Times New Roman" w:hAnsi="Times New Roman" w:cs="Traditional Arabic"/>
          <w:sz w:val="32"/>
          <w:szCs w:val="32"/>
          <w:rtl/>
          <w:lang w:val="fr-FR" w:eastAsia="ar-SA"/>
        </w:rPr>
        <w:t>–</w:t>
      </w:r>
      <w:r w:rsidRPr="006A3500">
        <w:rPr>
          <w:rFonts w:ascii="Times New Roman" w:eastAsia="Times New Roman" w:hAnsi="Times New Roman" w:cs="Traditional Arabic" w:hint="cs"/>
          <w:sz w:val="32"/>
          <w:szCs w:val="32"/>
          <w:rtl/>
          <w:lang w:val="fr-FR" w:eastAsia="ar-SA"/>
        </w:rPr>
        <w:t xml:space="preserve"> الأحكام الشرعية التي وجِدت في عهد الرسول </w:t>
      </w:r>
      <w:r w:rsidRPr="006A3500">
        <w:rPr>
          <w:rFonts w:ascii="Times New Roman" w:eastAsia="Times New Roman" w:hAnsi="Times New Roman" w:cs="Traditional Arabic"/>
          <w:sz w:val="32"/>
          <w:szCs w:val="32"/>
          <w:lang w:eastAsia="ar-SA"/>
        </w:rPr>
        <w:sym w:font="AGA Arabesque" w:char="F072"/>
      </w:r>
      <w:r w:rsidRPr="006A3500">
        <w:rPr>
          <w:rFonts w:ascii="Times New Roman" w:eastAsia="Times New Roman" w:hAnsi="Times New Roman" w:cs="Traditional Arabic" w:hint="cs"/>
          <w:sz w:val="32"/>
          <w:szCs w:val="32"/>
          <w:rtl/>
          <w:lang w:eastAsia="ar-SA"/>
        </w:rPr>
        <w:t xml:space="preserve"> هي ثابتة في حقّنا ونحن مكلّفون بها، وطريق إثباتها في حقّنا ما هو إلاّ استمرار وبقاء ما كان على ما كان، ولو كان الاستصحاب غير مفيد لظنّ البقاء لما ثبتت هذه الأحكام في حقّنا لجواز أن تكون قد نسخت، ولكان احتمال النسخ مساوياً لاحتمال البقاء، ويكون ثبوتها ترجيحاً بلا مرجّح ..</w:t>
      </w:r>
    </w:p>
    <w:p w:rsidR="006A3500" w:rsidRPr="006A3500" w:rsidRDefault="006A3500" w:rsidP="006A3500">
      <w:pPr>
        <w:overflowPunct w:val="0"/>
        <w:autoSpaceDE w:val="0"/>
        <w:autoSpaceDN w:val="0"/>
        <w:adjustRightInd w:val="0"/>
        <w:jc w:val="both"/>
        <w:textAlignment w:val="baseline"/>
        <w:rPr>
          <w:rFonts w:ascii="Times New Roman" w:eastAsia="Times New Roman" w:hAnsi="Times New Roman" w:cs="Traditional Arabic" w:hint="cs"/>
          <w:sz w:val="32"/>
          <w:szCs w:val="32"/>
          <w:rtl/>
          <w:lang w:eastAsia="ar-SA"/>
        </w:rPr>
      </w:pPr>
      <w:r w:rsidRPr="006A3500">
        <w:rPr>
          <w:rFonts w:ascii="Times New Roman" w:eastAsia="Times New Roman" w:hAnsi="Times New Roman" w:cs="Traditional Arabic" w:hint="cs"/>
          <w:sz w:val="32"/>
          <w:szCs w:val="32"/>
          <w:rtl/>
          <w:lang w:eastAsia="ar-SA"/>
        </w:rPr>
        <w:t>2 -  قال الغزالي: اعلم أنّ الأحكام السمعية لا تدرك بالعقل، لكن دلّ العقل على براءة الذمّة من الواجبات وسقوط الحرج عن الخلق في الحركات والسكنات قبل بعثة الرسل عليهم السلام وتأييدهم بالمعجزات، فانتفاء الأحكام معلوم بدليل العقل قبل ورود السمع، ونحن على استصحاب ذلك إلى أن يرد السمع .. ثمّ قال: وانتفاء الدليل السمعي قد يُعلم وقد يُظنّ، فإنّا نعلم أنّه لا دليل على وجوب صوم شوّال ولا على وجوب صلاة سادسة، إذ نعلم أنّه لو كان لنُقِل إلينا وانتشر، ولما خفي على جميع الأمّة، وهذا عُلِم بعدم الدليل وليس هو عدم العلم بالدليل، فإنّ الجهل بالدليل ليس بحجّة، والعلم بعدم الدليل حجّة ..</w:t>
      </w:r>
    </w:p>
    <w:p w:rsidR="006A3500" w:rsidRPr="006A3500" w:rsidRDefault="006A3500" w:rsidP="006A3500">
      <w:pPr>
        <w:overflowPunct w:val="0"/>
        <w:autoSpaceDE w:val="0"/>
        <w:autoSpaceDN w:val="0"/>
        <w:adjustRightInd w:val="0"/>
        <w:spacing w:before="100" w:beforeAutospacing="1"/>
        <w:jc w:val="both"/>
        <w:textAlignment w:val="baseline"/>
        <w:rPr>
          <w:rFonts w:ascii="Times New Roman" w:eastAsia="Times New Roman" w:hAnsi="Times New Roman" w:cs="Traditional Arabic" w:hint="cs"/>
          <w:sz w:val="32"/>
          <w:szCs w:val="32"/>
          <w:rtl/>
          <w:lang w:val="fr-FR" w:eastAsia="ar-SA"/>
        </w:rPr>
      </w:pPr>
      <w:r w:rsidRPr="006A3500">
        <w:rPr>
          <w:rFonts w:ascii="Times New Roman" w:eastAsia="Times New Roman" w:hAnsi="Times New Roman" w:cs="Traditional Arabic" w:hint="cs"/>
          <w:b/>
          <w:bCs/>
          <w:sz w:val="32"/>
          <w:szCs w:val="32"/>
          <w:rtl/>
          <w:lang w:val="fr-FR" w:eastAsia="ar-SA"/>
        </w:rPr>
        <w:t xml:space="preserve">2 </w:t>
      </w:r>
      <w:r w:rsidRPr="006A3500">
        <w:rPr>
          <w:rFonts w:ascii="Times New Roman" w:eastAsia="Times New Roman" w:hAnsi="Times New Roman" w:cs="Traditional Arabic"/>
          <w:b/>
          <w:bCs/>
          <w:sz w:val="32"/>
          <w:szCs w:val="32"/>
          <w:rtl/>
          <w:lang w:val="fr-FR" w:eastAsia="ar-SA"/>
        </w:rPr>
        <w:t>–</w:t>
      </w:r>
      <w:r w:rsidRPr="006A3500">
        <w:rPr>
          <w:rFonts w:ascii="Times New Roman" w:eastAsia="Times New Roman" w:hAnsi="Times New Roman" w:cs="Traditional Arabic" w:hint="cs"/>
          <w:b/>
          <w:bCs/>
          <w:sz w:val="32"/>
          <w:szCs w:val="32"/>
          <w:rtl/>
          <w:lang w:val="fr-FR" w:eastAsia="ar-SA"/>
        </w:rPr>
        <w:t xml:space="preserve"> </w:t>
      </w:r>
      <w:r w:rsidRPr="006A3500">
        <w:rPr>
          <w:rFonts w:ascii="Times New Roman" w:eastAsia="Times New Roman" w:hAnsi="Times New Roman" w:cs="Traditional Arabic" w:hint="cs"/>
          <w:sz w:val="32"/>
          <w:szCs w:val="32"/>
          <w:rtl/>
          <w:lang w:val="fr-FR" w:eastAsia="ar-SA"/>
        </w:rPr>
        <w:t xml:space="preserve">ذهب </w:t>
      </w:r>
      <w:r w:rsidRPr="006A3500">
        <w:rPr>
          <w:rFonts w:ascii="Times New Roman" w:eastAsia="Times New Roman" w:hAnsi="Times New Roman" w:cs="Traditional Arabic" w:hint="cs"/>
          <w:b/>
          <w:bCs/>
          <w:sz w:val="32"/>
          <w:szCs w:val="32"/>
          <w:rtl/>
          <w:lang w:val="fr-FR" w:eastAsia="ar-SA"/>
        </w:rPr>
        <w:t xml:space="preserve">أكثر المتأخّرين من الحنفية </w:t>
      </w:r>
      <w:r w:rsidRPr="006A3500">
        <w:rPr>
          <w:rFonts w:ascii="Times New Roman" w:eastAsia="Times New Roman" w:hAnsi="Times New Roman" w:cs="Traditional Arabic" w:hint="cs"/>
          <w:sz w:val="32"/>
          <w:szCs w:val="32"/>
          <w:rtl/>
          <w:lang w:val="fr-FR" w:eastAsia="ar-SA"/>
        </w:rPr>
        <w:t xml:space="preserve">إلى أنّه حجّة دافعة لا حجّة مثبتة على مقتضى أنّه حجّة لدفع ما يخالف الأمر الذي ثبت بالاستصحاب، ولا يصلح حجّة لإثبات أمر جديد لم يقم دليل على ثبوته، فهذا الاستصحاب هو حجّة لبقاء الحقوق المقرّرة الثابتة من قبل، وليس بسبب موجب لحقّ يكتسب، ويضربون لذلك مثلاً بحال المنكر في الدعوى، فإنّ إنكاره لدعوى المدّعي بأنّ عليه ديناً لا يكسب حقّه قوّة، ولكن يمنع ثبوت حقّ المدّعي .. </w:t>
      </w:r>
    </w:p>
    <w:p w:rsidR="006A3500" w:rsidRPr="006A3500" w:rsidRDefault="006A3500" w:rsidP="006A350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6A3500">
        <w:rPr>
          <w:rFonts w:ascii="Times New Roman" w:eastAsia="Times New Roman" w:hAnsi="Times New Roman" w:cs="Traditional Arabic" w:hint="cs"/>
          <w:sz w:val="32"/>
          <w:szCs w:val="32"/>
          <w:rtl/>
          <w:lang w:val="fr-FR" w:eastAsia="ar-SA"/>
        </w:rPr>
        <w:t xml:space="preserve">ومثل منكر الدعوى المفقود فإنّه في الفترة التي تكون بين غيابه والحكم بموته يعتبر حيّاً بالنسبة لما هو ثابت من أمواله، فلا تورث عنه قبل الحكم، لأنّ حياته ثابتة بالاستصحاب، فيثبت به الحقّ المقرّر ولا يكتسب بهذه الحياة الثابتة أموالاً جديدة، فلا يرث من قريب له قد مات قبل الحكم بالموت وبعد الغيبة لأنّ الاستصحاب ما يثبت به لا يأتي بحقّ جديد، ولكن يمنع إبطال الحقوق الثابتة .. </w:t>
      </w:r>
    </w:p>
    <w:p w:rsidR="006A3500" w:rsidRPr="006A3500" w:rsidRDefault="006A3500" w:rsidP="006A3500">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6A3500">
        <w:rPr>
          <w:rFonts w:ascii="Times New Roman" w:eastAsia="Times New Roman" w:hAnsi="Times New Roman" w:cs="Traditional Arabic" w:hint="cs"/>
          <w:sz w:val="32"/>
          <w:szCs w:val="32"/>
          <w:rtl/>
          <w:lang w:val="fr-FR" w:eastAsia="ar-SA"/>
        </w:rPr>
        <w:t xml:space="preserve">ويتّفق </w:t>
      </w:r>
      <w:r w:rsidRPr="006A3500">
        <w:rPr>
          <w:rFonts w:ascii="Times New Roman" w:eastAsia="Times New Roman" w:hAnsi="Times New Roman" w:cs="Traditional Arabic" w:hint="cs"/>
          <w:b/>
          <w:bCs/>
          <w:sz w:val="32"/>
          <w:szCs w:val="32"/>
          <w:rtl/>
          <w:lang w:val="fr-FR" w:eastAsia="ar-SA"/>
        </w:rPr>
        <w:t>مالك</w:t>
      </w:r>
      <w:r w:rsidRPr="006A3500">
        <w:rPr>
          <w:rFonts w:ascii="Times New Roman" w:eastAsia="Times New Roman" w:hAnsi="Times New Roman" w:cs="Traditional Arabic" w:hint="cs"/>
          <w:sz w:val="32"/>
          <w:szCs w:val="32"/>
          <w:rtl/>
          <w:lang w:val="fr-FR" w:eastAsia="ar-SA"/>
        </w:rPr>
        <w:t xml:space="preserve"> مع الحنفية في أحكام المفقود هذه ..</w:t>
      </w:r>
    </w:p>
    <w:p w:rsidR="006A3500" w:rsidRPr="006A3500" w:rsidRDefault="006A3500" w:rsidP="006A3500">
      <w:pPr>
        <w:overflowPunct w:val="0"/>
        <w:autoSpaceDE w:val="0"/>
        <w:autoSpaceDN w:val="0"/>
        <w:adjustRightInd w:val="0"/>
        <w:spacing w:before="100" w:beforeAutospacing="1"/>
        <w:jc w:val="both"/>
        <w:textAlignment w:val="baseline"/>
        <w:rPr>
          <w:rFonts w:ascii="Times New Roman" w:eastAsia="Times New Roman" w:hAnsi="Times New Roman" w:cs="Traditional Arabic" w:hint="cs"/>
          <w:sz w:val="32"/>
          <w:szCs w:val="32"/>
          <w:rtl/>
          <w:lang w:val="fr-FR" w:eastAsia="ar-SA"/>
        </w:rPr>
      </w:pPr>
      <w:r w:rsidRPr="006A3500">
        <w:rPr>
          <w:rFonts w:ascii="Times New Roman" w:eastAsia="Times New Roman" w:hAnsi="Times New Roman" w:cs="Traditional Arabic" w:hint="cs"/>
          <w:b/>
          <w:bCs/>
          <w:sz w:val="32"/>
          <w:szCs w:val="32"/>
          <w:rtl/>
          <w:lang w:val="fr-FR" w:eastAsia="ar-SA"/>
        </w:rPr>
        <w:lastRenderedPageBreak/>
        <w:t xml:space="preserve">3 </w:t>
      </w:r>
      <w:r w:rsidRPr="006A3500">
        <w:rPr>
          <w:rFonts w:ascii="Times New Roman" w:eastAsia="Times New Roman" w:hAnsi="Times New Roman" w:cs="Traditional Arabic"/>
          <w:b/>
          <w:bCs/>
          <w:sz w:val="32"/>
          <w:szCs w:val="32"/>
          <w:rtl/>
          <w:lang w:val="fr-FR" w:eastAsia="ar-SA"/>
        </w:rPr>
        <w:t>–</w:t>
      </w:r>
      <w:r w:rsidRPr="006A3500">
        <w:rPr>
          <w:rFonts w:ascii="Times New Roman" w:eastAsia="Times New Roman" w:hAnsi="Times New Roman" w:cs="Traditional Arabic" w:hint="cs"/>
          <w:b/>
          <w:bCs/>
          <w:sz w:val="32"/>
          <w:szCs w:val="32"/>
          <w:rtl/>
          <w:lang w:val="fr-FR" w:eastAsia="ar-SA"/>
        </w:rPr>
        <w:t xml:space="preserve"> </w:t>
      </w:r>
      <w:r w:rsidRPr="006A3500">
        <w:rPr>
          <w:rFonts w:ascii="Times New Roman" w:eastAsia="Times New Roman" w:hAnsi="Times New Roman" w:cs="Traditional Arabic" w:hint="cs"/>
          <w:sz w:val="32"/>
          <w:szCs w:val="32"/>
          <w:rtl/>
          <w:lang w:val="fr-FR" w:eastAsia="ar-SA"/>
        </w:rPr>
        <w:t xml:space="preserve">ذهب </w:t>
      </w:r>
      <w:r w:rsidRPr="006A3500">
        <w:rPr>
          <w:rFonts w:ascii="Times New Roman" w:eastAsia="Times New Roman" w:hAnsi="Times New Roman" w:cs="Traditional Arabic" w:hint="cs"/>
          <w:b/>
          <w:bCs/>
          <w:sz w:val="32"/>
          <w:szCs w:val="32"/>
          <w:rtl/>
          <w:lang w:val="fr-FR" w:eastAsia="ar-SA"/>
        </w:rPr>
        <w:t xml:space="preserve">كثير من الحنفية وبعض من أصحاب الشافعي وأبو الحسين البصري وجماعة من المتكلّمين </w:t>
      </w:r>
      <w:r w:rsidRPr="006A3500">
        <w:rPr>
          <w:rFonts w:ascii="Times New Roman" w:eastAsia="Times New Roman" w:hAnsi="Times New Roman" w:cs="Traditional Arabic" w:hint="cs"/>
          <w:sz w:val="32"/>
          <w:szCs w:val="32"/>
          <w:rtl/>
          <w:lang w:val="fr-FR" w:eastAsia="ar-SA"/>
        </w:rPr>
        <w:t>إلى أنّه ليس بحجّة أصلاً لا لإثبات أمرٍ لم يكن ولا لبقاء ما كان على ما كان ..</w:t>
      </w:r>
    </w:p>
    <w:p w:rsidR="000D6782" w:rsidRDefault="000D6782"/>
    <w:sectPr w:rsidR="000D6782" w:rsidSect="00AF347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F7D" w:rsidRDefault="00303F7D" w:rsidP="006A3500">
      <w:r>
        <w:separator/>
      </w:r>
    </w:p>
  </w:endnote>
  <w:endnote w:type="continuationSeparator" w:id="0">
    <w:p w:rsidR="00303F7D" w:rsidRDefault="00303F7D" w:rsidP="006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C0002042" w:usb2="00000008" w:usb3="00000000" w:csb0="000000D3" w:csb1="00000000"/>
  </w:font>
  <w:font w:name="Traditional Arabic">
    <w:panose1 w:val="02020603050405020304"/>
    <w:charset w:val="00"/>
    <w:family w:val="auto"/>
    <w:pitch w:val="variable"/>
    <w:sig w:usb0="8000202F" w:usb1="90000008" w:usb2="00000008" w:usb3="00000000" w:csb0="00000041"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F7D" w:rsidRDefault="00303F7D" w:rsidP="006A3500">
      <w:r>
        <w:separator/>
      </w:r>
    </w:p>
  </w:footnote>
  <w:footnote w:type="continuationSeparator" w:id="0">
    <w:p w:rsidR="00303F7D" w:rsidRDefault="00303F7D" w:rsidP="006A3500">
      <w:r>
        <w:continuationSeparator/>
      </w:r>
    </w:p>
  </w:footnote>
  <w:footnote w:id="1">
    <w:p w:rsidR="006A3500" w:rsidRDefault="006A3500" w:rsidP="006A3500">
      <w:pPr>
        <w:pStyle w:val="FootnoteText"/>
        <w:rPr>
          <w:rFonts w:hint="cs"/>
          <w:rtl/>
        </w:rPr>
      </w:pPr>
      <w:r>
        <w:rPr>
          <w:rStyle w:val="FootnoteReference"/>
        </w:rPr>
        <w:footnoteRef/>
      </w:r>
      <w:r>
        <w:rPr>
          <w:rFonts w:hint="cs"/>
          <w:rtl/>
        </w:rPr>
        <w:t xml:space="preserve"> - سورة الأنعام : الآية </w:t>
      </w:r>
      <w:r>
        <w:rPr>
          <w:rFonts w:hint="cs"/>
          <w:sz w:val="24"/>
          <w:szCs w:val="24"/>
          <w:rtl/>
        </w:rPr>
        <w:t>145</w:t>
      </w:r>
      <w:r>
        <w:rPr>
          <w:rFonts w:hint="cs"/>
          <w:rtl/>
        </w:rPr>
        <w:t xml:space="preserve"> .</w:t>
      </w:r>
    </w:p>
  </w:footnote>
  <w:footnote w:id="2">
    <w:p w:rsidR="006A3500" w:rsidRDefault="006A3500" w:rsidP="006A3500">
      <w:pPr>
        <w:pStyle w:val="FootnoteText"/>
        <w:rPr>
          <w:rFonts w:hint="cs"/>
          <w:rtl/>
        </w:rPr>
      </w:pPr>
      <w:r>
        <w:rPr>
          <w:rStyle w:val="FootnoteReference"/>
        </w:rPr>
        <w:footnoteRef/>
      </w:r>
      <w:r>
        <w:rPr>
          <w:rFonts w:hint="cs"/>
          <w:rtl/>
        </w:rPr>
        <w:t xml:space="preserve"> </w:t>
      </w:r>
      <w:r>
        <w:rPr>
          <w:rFonts w:hint="cs"/>
          <w:rtl/>
        </w:rPr>
        <w:t xml:space="preserve">- رواه مسلم في صحيحه، كتاب الحيض، باب الدليل على أنّ من تيقّن الطهارة ثمّ شكّ في الحدث، رقم   </w:t>
      </w:r>
      <w:r>
        <w:rPr>
          <w:rFonts w:hint="cs"/>
          <w:sz w:val="24"/>
          <w:szCs w:val="24"/>
          <w:rtl/>
        </w:rPr>
        <w:t>541</w:t>
      </w:r>
      <w:r>
        <w:rPr>
          <w:rFonts w:hint="cs"/>
          <w:rtl/>
        </w:rPr>
        <w:t xml:space="preserve"> ؛ وقريب منه ما رواه البخاري وأبو داود والترمذي والنسائي والإمام أحمد والدارمي ..</w:t>
      </w:r>
    </w:p>
  </w:footnote>
  <w:footnote w:id="3">
    <w:p w:rsidR="006A3500" w:rsidRDefault="006A3500" w:rsidP="006A3500">
      <w:pPr>
        <w:pStyle w:val="FootnoteText"/>
        <w:rPr>
          <w:rtl/>
        </w:rPr>
      </w:pPr>
      <w:r>
        <w:rPr>
          <w:rStyle w:val="FootnoteReference"/>
        </w:rPr>
        <w:footnoteRef/>
      </w:r>
      <w:r>
        <w:rPr>
          <w:rFonts w:hint="cs"/>
          <w:rtl/>
        </w:rPr>
        <w:t xml:space="preserve"> </w:t>
      </w:r>
      <w:r>
        <w:rPr>
          <w:rFonts w:hint="cs"/>
          <w:rtl/>
        </w:rPr>
        <w:t xml:space="preserve">- رواه مسلم في صحيحه، كتاب المساجد ومواضع الصلاة، باب السهو في الصلاة والسجود له، رقم </w:t>
      </w:r>
      <w:r>
        <w:rPr>
          <w:rFonts w:hint="cs"/>
          <w:sz w:val="24"/>
          <w:szCs w:val="24"/>
          <w:rtl/>
        </w:rPr>
        <w:t>888</w:t>
      </w:r>
      <w:r>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E654A"/>
    <w:multiLevelType w:val="hybridMultilevel"/>
    <w:tmpl w:val="0BA4E754"/>
    <w:lvl w:ilvl="0" w:tplc="1A14B630">
      <w:start w:val="1"/>
      <w:numFmt w:val="bullet"/>
      <w:lvlText w:val=""/>
      <w:lvlJc w:val="left"/>
      <w:pPr>
        <w:tabs>
          <w:tab w:val="num" w:pos="360"/>
        </w:tabs>
        <w:ind w:left="360" w:right="360" w:hanging="360"/>
      </w:pPr>
      <w:rPr>
        <w:rFonts w:ascii="Wingdings 2" w:hAnsi="Wingdings 2" w:hint="default"/>
        <w:sz w:val="32"/>
        <w:szCs w:val="32"/>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00"/>
    <w:rsid w:val="000D6782"/>
    <w:rsid w:val="00303F7D"/>
    <w:rsid w:val="006A3500"/>
    <w:rsid w:val="00AF34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60077-4F77-4F27-ACEE-234094B0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3500"/>
    <w:rPr>
      <w:sz w:val="20"/>
      <w:szCs w:val="20"/>
    </w:rPr>
  </w:style>
  <w:style w:type="character" w:customStyle="1" w:styleId="FootnoteTextChar">
    <w:name w:val="Footnote Text Char"/>
    <w:basedOn w:val="DefaultParagraphFont"/>
    <w:link w:val="FootnoteText"/>
    <w:uiPriority w:val="99"/>
    <w:semiHidden/>
    <w:rsid w:val="006A3500"/>
    <w:rPr>
      <w:sz w:val="20"/>
      <w:szCs w:val="20"/>
      <w:lang w:bidi="ar-DZ"/>
    </w:rPr>
  </w:style>
  <w:style w:type="character" w:styleId="FootnoteReference">
    <w:name w:val="footnote reference"/>
    <w:semiHidden/>
    <w:rsid w:val="006A35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azz6419@yahoo.com</dc:creator>
  <cp:keywords/>
  <dc:description/>
  <cp:lastModifiedBy>azz6419@yahoo.com</cp:lastModifiedBy>
  <cp:revision>1</cp:revision>
  <dcterms:created xsi:type="dcterms:W3CDTF">2020-03-12T13:55:00Z</dcterms:created>
  <dcterms:modified xsi:type="dcterms:W3CDTF">2020-03-12T13:57:00Z</dcterms:modified>
</cp:coreProperties>
</file>